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footer6.xml" ContentType="application/vnd.openxmlformats-officedocument.wordprocessingml.footer+xml"/>
  <Override PartName="/word/header8.xml" ContentType="application/vnd.openxmlformats-officedocument.wordprocessingml.header+xml"/>
  <Override PartName="/word/header7.xml" ContentType="application/vnd.openxmlformats-officedocument.wordprocessingml.header+xml"/>
  <Override PartName="/word/styles.xml" ContentType="application/vnd.openxmlformats-officedocument.wordprocessingml.styles+xml"/>
  <Override PartName="/word/footer5.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footer7.xml" ContentType="application/vnd.openxmlformats-officedocument.wordprocessingml.footer+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footer3.xml" ContentType="application/vnd.openxmlformats-officedocument.wordprocessingml.footer+xml"/>
  <Override PartName="/word/header3.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customXml/_rels/item1.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itemProps3.xml" ContentType="application/vnd.openxmlformats-officedocument.customXmlProperties+xml"/>
  <Override PartName="/customXml/item3.xml" ContentType="application/xml"/>
  <Override PartName="/customXml/item4.xml" ContentType="application/xml"/>
  <Override PartName="/customXml/itemProps1.xml" ContentType="application/vnd.openxmlformats-officedocument.customXmlProperties+xml"/>
  <Override PartName="/customXml/itemProps4.xml" ContentType="application/vnd.openxmlformats-officedocument.customXmlProperties+xml"/>
  <Override PartName="/customXml/item1.xml" ContentType="application/xml"/>
  <Override PartName="/customXml/item2.xml" ContentType="application/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6926" w:leader="none"/>
        </w:tabs>
        <w:jc w:val="center"/>
        <w:rPr>
          <w:b/>
          <w:sz w:val="24"/>
          <w:szCs w:val="24"/>
        </w:rPr>
      </w:pPr>
      <w:r>
        <w:rPr>
          <w:b/>
          <w:bCs/>
          <w:sz w:val="24"/>
          <w:szCs w:val="24"/>
        </w:rPr>
        <w:t>Договор поставки</w:t>
      </w:r>
    </w:p>
    <w:p>
      <w:pPr>
        <w:pStyle w:val="Normal"/>
        <w:shd w:val="clear" w:color="auto" w:fill="FFFFFF"/>
        <w:rPr>
          <w:b/>
          <w:bCs/>
          <w:sz w:val="24"/>
          <w:szCs w:val="24"/>
        </w:rPr>
      </w:pPr>
      <w:r>
        <w:rPr>
          <w:b/>
          <w:bCs/>
          <w:sz w:val="24"/>
          <w:szCs w:val="24"/>
        </w:rPr>
      </w:r>
    </w:p>
    <w:p>
      <w:pPr>
        <w:pStyle w:val="Normal"/>
        <w:shd w:val="clear" w:color="auto" w:fill="FFFFFF"/>
        <w:tabs>
          <w:tab w:val="clear" w:pos="708"/>
          <w:tab w:val="right" w:pos="9639" w:leader="none"/>
        </w:tabs>
        <w:jc w:val="right"/>
        <w:rPr>
          <w:bCs/>
          <w:sz w:val="24"/>
          <w:szCs w:val="24"/>
        </w:rPr>
      </w:pPr>
      <w:r>
        <w:rPr>
          <w:bCs/>
          <w:sz w:val="24"/>
          <w:szCs w:val="24"/>
        </w:rPr>
        <w:t>г. Чайковский</w:t>
        <w:tab/>
        <w:t xml:space="preserve">   «___» _________ 2026 г.</w:t>
      </w:r>
    </w:p>
    <w:p>
      <w:pPr>
        <w:pStyle w:val="Normal"/>
        <w:shd w:val="clear" w:color="auto" w:fill="FFFFFF"/>
        <w:tabs>
          <w:tab w:val="clear" w:pos="708"/>
          <w:tab w:val="right" w:pos="9639" w:leader="none"/>
        </w:tabs>
        <w:jc w:val="right"/>
        <w:rPr>
          <w:bCs/>
          <w:sz w:val="24"/>
          <w:szCs w:val="24"/>
        </w:rPr>
      </w:pPr>
      <w:r>
        <w:rPr>
          <w:bCs/>
          <w:sz w:val="24"/>
          <w:szCs w:val="24"/>
        </w:rPr>
      </w:r>
    </w:p>
    <w:p>
      <w:pPr>
        <w:pStyle w:val="Normal"/>
        <w:ind w:firstLine="709"/>
        <w:jc w:val="both"/>
        <w:rPr>
          <w:sz w:val="24"/>
          <w:szCs w:val="24"/>
        </w:rPr>
      </w:pPr>
      <w:r>
        <w:rPr>
          <w:b/>
          <w:sz w:val="24"/>
          <w:szCs w:val="24"/>
        </w:rPr>
        <w:t xml:space="preserve">Публичное акционерное общество «Федеральная гидрогенерирующая компания – РусГидро» </w:t>
      </w:r>
      <w:r>
        <w:rPr>
          <w:sz w:val="24"/>
          <w:szCs w:val="24"/>
        </w:rPr>
        <w:t>(ПАО «РусГидро»)</w:t>
      </w:r>
      <w:r>
        <w:rPr>
          <w:spacing w:val="2"/>
          <w:sz w:val="24"/>
          <w:szCs w:val="24"/>
        </w:rPr>
        <w:t xml:space="preserve">, (далее – </w:t>
      </w:r>
      <w:r>
        <w:rPr>
          <w:sz w:val="24"/>
          <w:szCs w:val="24"/>
        </w:rPr>
        <w:t>«Покупатель»), в лице директора филиала ПАО «РусГидро» - «Воткинская ГЭС» Бякова Алексея Георгиевича</w:t>
      </w:r>
      <w:r>
        <w:rPr>
          <w:spacing w:val="4"/>
          <w:sz w:val="24"/>
          <w:szCs w:val="24"/>
        </w:rPr>
        <w:t>, действующего на основании доверенности № 9458 от 25.12.2024г.(МЧД 448dddfb-cef0-439a-a92c-a8528d058924 от 15.01.2025г.), с одной стороны, и</w:t>
      </w:r>
      <w:r>
        <w:rPr>
          <w:spacing w:val="10"/>
          <w:sz w:val="24"/>
          <w:szCs w:val="24"/>
        </w:rPr>
        <w:t>_____________</w:t>
      </w:r>
      <w:r>
        <w:rPr>
          <w:bCs/>
          <w:sz w:val="24"/>
          <w:szCs w:val="24"/>
        </w:rPr>
        <w:t xml:space="preserve"> </w:t>
      </w:r>
      <w:r>
        <w:rPr>
          <w:sz w:val="24"/>
          <w:szCs w:val="24"/>
        </w:rPr>
        <w:t xml:space="preserve">(далее – «Поставщик»), в лице __________, действующего на основании _________, с другой стороны, </w:t>
      </w:r>
    </w:p>
    <w:p>
      <w:pPr>
        <w:pStyle w:val="Normal"/>
        <w:ind w:firstLine="709"/>
        <w:jc w:val="both"/>
        <w:rPr>
          <w:spacing w:val="10"/>
          <w:sz w:val="24"/>
          <w:szCs w:val="24"/>
        </w:rPr>
      </w:pPr>
      <w:r>
        <w:rPr>
          <w:sz w:val="24"/>
          <w:szCs w:val="24"/>
        </w:rPr>
        <w:t xml:space="preserve">совместно в дальнейшем именуемые «Стороны», а по отдельности – «Сторона», </w:t>
        <w:br/>
      </w:r>
      <w:r>
        <w:rPr>
          <w:sz w:val="24"/>
          <w:szCs w:val="24"/>
          <w:lang w:eastAsia="en-US"/>
        </w:rPr>
        <w:t>по результатам проведенного Покупателем состязательного отбора по лоту № </w:t>
      </w:r>
      <w:r>
        <w:rPr>
          <w:bCs/>
          <w:sz w:val="26"/>
          <w:szCs w:val="26"/>
        </w:rPr>
        <w:t>32-ЭКСП-БПД-2026-ВотГЭС,</w:t>
      </w:r>
      <w:r>
        <w:rPr>
          <w:sz w:val="24"/>
          <w:szCs w:val="24"/>
          <w:lang w:eastAsia="en-US"/>
        </w:rPr>
        <w:t xml:space="preserve">  на основании протокола закупочной комиссии от «__» ______ 202_ г. № _____ </w:t>
      </w:r>
      <w:r>
        <w:rPr>
          <w:sz w:val="24"/>
          <w:szCs w:val="24"/>
        </w:rPr>
        <w:t>заключили настоящий договор поставки (далее – «Договор») о нижеследующем:</w:t>
      </w:r>
    </w:p>
    <w:p>
      <w:pPr>
        <w:pStyle w:val="Normal"/>
        <w:rPr>
          <w:bCs/>
          <w:sz w:val="24"/>
          <w:szCs w:val="24"/>
        </w:rPr>
      </w:pPr>
      <w:r>
        <w:rPr>
          <w:bCs/>
          <w:sz w:val="24"/>
          <w:szCs w:val="24"/>
        </w:rPr>
      </w:r>
    </w:p>
    <w:p>
      <w:pPr>
        <w:pStyle w:val="Normal"/>
        <w:jc w:val="center"/>
        <w:rPr>
          <w:b/>
          <w:bCs/>
          <w:sz w:val="24"/>
          <w:szCs w:val="24"/>
        </w:rPr>
      </w:pPr>
      <w:r>
        <w:rPr>
          <w:b/>
          <w:bCs/>
          <w:sz w:val="24"/>
          <w:szCs w:val="24"/>
        </w:rPr>
        <w:t>Термины и определения</w:t>
      </w:r>
    </w:p>
    <w:p>
      <w:pPr>
        <w:pStyle w:val="Normal"/>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tabs>
          <w:tab w:val="clear" w:pos="708"/>
          <w:tab w:val="left" w:pos="0" w:leader="none"/>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ТОРГ-2 «Акт об установленном расхождении по количеству и качеству при приемке товарно-материальных ценностей» и № ТОРГ</w:t>
      </w:r>
      <w:r>
        <w:rPr>
          <w:sz w:val="24"/>
          <w:szCs w:val="24"/>
        </w:rPr>
        <w:t>-</w:t>
      </w:r>
      <w:r>
        <w:rPr>
          <w:sz w:val="24"/>
          <w:szCs w:val="24"/>
          <w:lang w:eastAsia="en-US"/>
        </w:rPr>
        <w:t xml:space="preserve">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tabs>
          <w:tab w:val="clear" w:pos="708"/>
          <w:tab w:val="left" w:pos="567" w:leader="none"/>
          <w:tab w:val="left" w:pos="1134" w:leader="none"/>
        </w:tabs>
        <w:ind w:left="0" w:firstLine="708"/>
        <w:jc w:val="both"/>
        <w:textAlignment w:val="baseline"/>
        <w:rPr>
          <w:sz w:val="24"/>
          <w:szCs w:val="24"/>
          <w:lang w:eastAsia="en-US"/>
        </w:rPr>
      </w:pPr>
      <w:r>
        <w:rPr>
          <w:b/>
          <w:sz w:val="24"/>
          <w:szCs w:val="24"/>
          <w:lang w:eastAsia="en-US"/>
        </w:rPr>
        <w:t xml:space="preserve"> </w:t>
      </w: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tabs>
          <w:tab w:val="clear" w:pos="708"/>
          <w:tab w:val="left" w:pos="0" w:leader="none"/>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tabs>
          <w:tab w:val="clear" w:pos="708"/>
          <w:tab w:val="left" w:pos="0" w:leader="none"/>
        </w:tabs>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tabs>
          <w:tab w:val="clear" w:pos="708"/>
          <w:tab w:val="left" w:pos="0" w:leader="none"/>
        </w:tabs>
        <w:ind w:left="0" w:firstLine="709"/>
        <w:jc w:val="both"/>
        <w:textAlignment w:val="baseline"/>
        <w:rPr>
          <w:b/>
          <w:sz w:val="24"/>
          <w:szCs w:val="24"/>
          <w:lang w:eastAsia="en-US"/>
        </w:rPr>
      </w:pPr>
      <w:r>
        <w:rPr>
          <w:b/>
          <w:sz w:val="24"/>
          <w:szCs w:val="24"/>
          <w:lang w:eastAsia="en-US"/>
        </w:rPr>
        <w:t xml:space="preserve">«УПД» </w:t>
      </w:r>
      <w:r>
        <w:rPr>
          <w:sz w:val="24"/>
          <w:szCs w:val="24"/>
          <w:lang w:eastAsia="en-US"/>
        </w:rPr>
        <w:t>–</w:t>
      </w:r>
      <w:r>
        <w:rPr>
          <w:b/>
          <w:sz w:val="24"/>
          <w:szCs w:val="24"/>
          <w:lang w:eastAsia="en-US"/>
        </w:rPr>
        <w:t xml:space="preserve"> </w:t>
      </w:r>
      <w:r>
        <w:rPr>
          <w:sz w:val="24"/>
          <w:szCs w:val="24"/>
          <w:lang w:eastAsia="en-US"/>
        </w:rPr>
        <w:t>универсальный передаточный документ, оформляемый по унифицированной форме, утвержденной письмом Федеральной налоговой службы от 21 октября 2013 года № ММВ-20-3/96, подписываемый Сторонами после завершения приемки Товара по количеству, качеству и комплектности.</w:t>
      </w:r>
    </w:p>
    <w:p>
      <w:pPr>
        <w:pStyle w:val="ListParagraph"/>
        <w:tabs>
          <w:tab w:val="clear" w:pos="708"/>
          <w:tab w:val="left" w:pos="0" w:leader="none"/>
        </w:tabs>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в случаях, установленных Договором. </w:t>
      </w:r>
    </w:p>
    <w:p>
      <w:pPr>
        <w:pStyle w:val="Heading3"/>
        <w:keepNext w:val="false"/>
        <w:tabs>
          <w:tab w:val="clear" w:pos="708"/>
          <w:tab w:val="left" w:pos="0" w:leader="none"/>
        </w:tabs>
        <w:spacing w:before="0" w:after="0"/>
        <w:ind w:firstLine="709"/>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 xml:space="preserve"> </w:t>
      </w:r>
      <w:r>
        <w:rPr>
          <w:rFonts w:ascii="Times New Roman" w:hAnsi="Times New Roman"/>
          <w:color w:val="auto"/>
          <w:sz w:val="24"/>
          <w:szCs w:val="24"/>
          <w:lang w:val="ru-RU" w:eastAsia="en-US"/>
        </w:rPr>
        <w:t>«Применимое право»</w:t>
      </w:r>
      <w:r>
        <w:rPr>
          <w:rFonts w:ascii="Times New Roman" w:hAnsi="Times New Roman"/>
          <w:b w:val="false"/>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8"/>
        <w:jc w:val="both"/>
        <w:rPr>
          <w:sz w:val="24"/>
          <w:szCs w:val="24"/>
          <w:lang w:eastAsia="en-US"/>
        </w:rPr>
      </w:pPr>
      <w:r>
        <w:rPr>
          <w:b/>
          <w:sz w:val="24"/>
          <w:szCs w:val="24"/>
          <w:lang w:eastAsia="en-US"/>
        </w:rPr>
        <w:t xml:space="preserve"> </w:t>
      </w: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tabs>
          <w:tab w:val="clear" w:pos="708"/>
          <w:tab w:val="left" w:pos="0" w:leader="none"/>
        </w:tabs>
        <w:spacing w:before="0" w:after="0"/>
        <w:ind w:firstLine="708"/>
        <w:jc w:val="both"/>
        <w:textAlignment w:val="baseline"/>
        <w:rPr>
          <w:rFonts w:ascii="Times New Roman" w:hAnsi="Times New Roman"/>
          <w:b w:val="false"/>
          <w:color w:val="auto"/>
          <w:sz w:val="24"/>
          <w:szCs w:val="24"/>
          <w:lang w:val="ru-RU" w:eastAsia="en-US"/>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Normal"/>
        <w:ind w:firstLine="709"/>
        <w:jc w:val="center"/>
        <w:rPr>
          <w:bCs/>
          <w:sz w:val="24"/>
          <w:szCs w:val="24"/>
        </w:rPr>
      </w:pPr>
      <w:r>
        <w:rPr>
          <w:bCs/>
          <w:sz w:val="24"/>
          <w:szCs w:val="24"/>
        </w:rPr>
      </w:r>
    </w:p>
    <w:p>
      <w:pPr>
        <w:pStyle w:val="Normal"/>
        <w:numPr>
          <w:ilvl w:val="0"/>
          <w:numId w:val="2"/>
        </w:numPr>
        <w:tabs>
          <w:tab w:val="clear" w:pos="708"/>
          <w:tab w:val="left" w:pos="284" w:leader="none"/>
        </w:tabs>
        <w:ind w:left="0" w:hanging="0"/>
        <w:jc w:val="center"/>
        <w:rPr>
          <w:b/>
          <w:bCs/>
          <w:sz w:val="24"/>
          <w:szCs w:val="24"/>
        </w:rPr>
      </w:pPr>
      <w:r>
        <w:rPr>
          <w:b/>
          <w:bCs/>
          <w:sz w:val="24"/>
          <w:szCs w:val="24"/>
        </w:rPr>
        <w:t>Предмет Договора</w:t>
      </w:r>
    </w:p>
    <w:p>
      <w:pPr>
        <w:pStyle w:val="Normal"/>
        <w:numPr>
          <w:ilvl w:val="1"/>
          <w:numId w:val="2"/>
        </w:numPr>
        <w:tabs>
          <w:tab w:val="clear" w:pos="708"/>
          <w:tab w:val="left" w:pos="993" w:leader="none"/>
        </w:tabs>
        <w:ind w:left="0" w:firstLine="720"/>
        <w:jc w:val="both"/>
        <w:rPr>
          <w:bCs/>
          <w:sz w:val="24"/>
          <w:szCs w:val="24"/>
        </w:rPr>
      </w:pPr>
      <w:r>
        <w:rPr>
          <w:bCs/>
          <w:sz w:val="24"/>
          <w:szCs w:val="24"/>
        </w:rPr>
        <w:t>Поставщик обязуется в порядке и сроки, установленные Договором, передать в собственность Покупателю</w:t>
      </w:r>
      <w:r>
        <w:rPr>
          <w:rFonts w:eastAsia="Calibri"/>
          <w:bCs/>
          <w:sz w:val="24"/>
          <w:szCs w:val="24"/>
          <w:lang w:eastAsia="en-US"/>
        </w:rPr>
        <w:t xml:space="preserve"> «</w:t>
      </w:r>
      <w:r>
        <w:rPr>
          <w:rFonts w:eastAsia="Calibri"/>
          <w:b/>
          <w:bCs/>
          <w:i/>
          <w:sz w:val="24"/>
          <w:szCs w:val="24"/>
          <w:lang w:eastAsia="en-US"/>
        </w:rPr>
        <w:t xml:space="preserve">ОКПД2 32.99.11.199 Поставка средств индивидуальной защиты для нужд филиала ПАО "РусГидро"-"Воткинская ГЭС" </w:t>
      </w:r>
      <w:r>
        <w:rPr>
          <w:bCs/>
          <w:sz w:val="24"/>
          <w:szCs w:val="24"/>
        </w:rPr>
        <w:t>(далее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pPr>
        <w:pStyle w:val="Normal"/>
        <w:numPr>
          <w:ilvl w:val="1"/>
          <w:numId w:val="2"/>
        </w:numPr>
        <w:tabs>
          <w:tab w:val="clear" w:pos="708"/>
          <w:tab w:val="left" w:pos="0" w:leader="none"/>
          <w:tab w:val="left" w:pos="1134" w:leader="none"/>
        </w:tabs>
        <w:ind w:left="0" w:firstLine="709"/>
        <w:jc w:val="both"/>
        <w:rPr>
          <w:bCs/>
          <w:sz w:val="24"/>
          <w:szCs w:val="24"/>
        </w:rPr>
      </w:pPr>
      <w:r>
        <w:rPr>
          <w:bCs/>
          <w:sz w:val="24"/>
          <w:szCs w:val="24"/>
        </w:rPr>
        <w:t>Поставка Товара по Договору осуществляется для нужд филиала ПАО «РусГидро»-«Воткинская ГЭС».</w:t>
      </w:r>
    </w:p>
    <w:p>
      <w:pPr>
        <w:pStyle w:val="Normal"/>
        <w:numPr>
          <w:ilvl w:val="1"/>
          <w:numId w:val="2"/>
        </w:numPr>
        <w:tabs>
          <w:tab w:val="clear" w:pos="708"/>
          <w:tab w:val="left" w:pos="0" w:leader="none"/>
          <w:tab w:val="left" w:pos="1134" w:leader="none"/>
        </w:tabs>
        <w:ind w:left="0" w:firstLine="709"/>
        <w:jc w:val="both"/>
        <w:rPr>
          <w:bCs/>
          <w:sz w:val="24"/>
          <w:szCs w:val="24"/>
        </w:rPr>
      </w:pPr>
      <w:r>
        <w:rPr>
          <w:bCs/>
          <w:sz w:val="24"/>
          <w:szCs w:val="24"/>
        </w:rPr>
        <w:t xml:space="preserve">Место поставки Товара: </w:t>
      </w:r>
      <w:r>
        <w:rPr>
          <w:sz w:val="24"/>
          <w:szCs w:val="24"/>
        </w:rPr>
        <w:t>617760, Пермский край, г.о. Чайковский, г. Чайковский, тер. Воткинской ГЭС, д.1/2, филиал ПАО «РусГидро»-«Воткинская ГЭС» (далее – «Место поставки»).</w:t>
      </w:r>
    </w:p>
    <w:p>
      <w:pPr>
        <w:pStyle w:val="Normal"/>
        <w:numPr>
          <w:ilvl w:val="1"/>
          <w:numId w:val="2"/>
        </w:numPr>
        <w:tabs>
          <w:tab w:val="clear" w:pos="708"/>
          <w:tab w:val="left" w:pos="0" w:leader="none"/>
          <w:tab w:val="left" w:pos="540" w:leader="none"/>
          <w:tab w:val="left" w:pos="1134" w:leader="none"/>
        </w:tabs>
        <w:ind w:left="0" w:firstLine="709"/>
        <w:jc w:val="both"/>
        <w:rPr>
          <w:bCs/>
          <w:sz w:val="24"/>
          <w:szCs w:val="24"/>
        </w:rPr>
      </w:pPr>
      <w:r>
        <w:rPr>
          <w:bCs/>
          <w:sz w:val="24"/>
          <w:szCs w:val="24"/>
        </w:rPr>
        <w:t>Общий срок поставки Товара:</w:t>
      </w:r>
    </w:p>
    <w:p>
      <w:pPr>
        <w:pStyle w:val="Normal"/>
        <w:numPr>
          <w:ilvl w:val="2"/>
          <w:numId w:val="2"/>
        </w:numPr>
        <w:tabs>
          <w:tab w:val="clear" w:pos="708"/>
          <w:tab w:val="left" w:pos="0" w:leader="none"/>
          <w:tab w:val="left" w:pos="1134" w:leader="none"/>
          <w:tab w:val="left" w:pos="1418" w:leader="none"/>
        </w:tabs>
        <w:ind w:left="0" w:firstLine="709"/>
        <w:jc w:val="both"/>
        <w:rPr>
          <w:bCs/>
          <w:sz w:val="24"/>
          <w:szCs w:val="24"/>
        </w:rPr>
      </w:pPr>
      <w:r>
        <w:rPr>
          <w:bCs/>
          <w:sz w:val="24"/>
          <w:szCs w:val="24"/>
        </w:rPr>
        <w:t>Начало – со дня, следующего за днем заключения Договора.</w:t>
      </w:r>
    </w:p>
    <w:p>
      <w:pPr>
        <w:pStyle w:val="Normal"/>
        <w:numPr>
          <w:ilvl w:val="2"/>
          <w:numId w:val="2"/>
        </w:numPr>
        <w:tabs>
          <w:tab w:val="clear" w:pos="708"/>
          <w:tab w:val="left" w:pos="0" w:leader="none"/>
          <w:tab w:val="left" w:pos="1134" w:leader="none"/>
          <w:tab w:val="left" w:pos="1418" w:leader="none"/>
        </w:tabs>
        <w:ind w:left="0" w:firstLine="709"/>
        <w:jc w:val="both"/>
        <w:rPr>
          <w:bCs/>
          <w:sz w:val="24"/>
          <w:szCs w:val="24"/>
        </w:rPr>
      </w:pPr>
      <w:r>
        <w:rPr>
          <w:bCs/>
          <w:sz w:val="24"/>
          <w:szCs w:val="24"/>
        </w:rPr>
        <w:t>Окончание – 30.10.2026г.</w:t>
      </w:r>
    </w:p>
    <w:p>
      <w:pPr>
        <w:pStyle w:val="Normal"/>
        <w:tabs>
          <w:tab w:val="clear" w:pos="708"/>
          <w:tab w:val="left" w:pos="1134" w:leader="none"/>
          <w:tab w:val="left" w:pos="1851" w:leader="none"/>
        </w:tabs>
        <w:ind w:left="709" w:hanging="0"/>
        <w:jc w:val="both"/>
        <w:rPr>
          <w:bCs/>
          <w:sz w:val="24"/>
          <w:szCs w:val="24"/>
        </w:rPr>
      </w:pPr>
      <w:r>
        <w:rPr>
          <w:bCs/>
          <w:sz w:val="24"/>
          <w:szCs w:val="24"/>
        </w:rPr>
      </w:r>
    </w:p>
    <w:p>
      <w:pPr>
        <w:pStyle w:val="Normal"/>
        <w:numPr>
          <w:ilvl w:val="0"/>
          <w:numId w:val="2"/>
        </w:numPr>
        <w:tabs>
          <w:tab w:val="clear" w:pos="708"/>
          <w:tab w:val="left" w:pos="284" w:leader="none"/>
        </w:tabs>
        <w:ind w:left="0" w:hanging="0"/>
        <w:jc w:val="center"/>
        <w:rPr>
          <w:b/>
          <w:bCs/>
          <w:sz w:val="24"/>
          <w:szCs w:val="24"/>
        </w:rPr>
      </w:pPr>
      <w:r>
        <w:rPr>
          <w:b/>
          <w:bCs/>
          <w:sz w:val="24"/>
          <w:szCs w:val="24"/>
        </w:rPr>
        <w:t>Цена Договора и порядок расчетов</w:t>
      </w:r>
    </w:p>
    <w:p>
      <w:pPr>
        <w:pStyle w:val="Normal"/>
        <w:numPr>
          <w:ilvl w:val="1"/>
          <w:numId w:val="2"/>
        </w:numPr>
        <w:tabs>
          <w:tab w:val="clear" w:pos="708"/>
          <w:tab w:val="left" w:pos="0" w:leader="none"/>
          <w:tab w:val="left" w:pos="1134" w:leader="none"/>
        </w:tabs>
        <w:ind w:left="0" w:firstLine="709"/>
        <w:jc w:val="both"/>
        <w:rPr>
          <w:bCs/>
          <w:sz w:val="24"/>
          <w:szCs w:val="24"/>
        </w:rPr>
      </w:pPr>
      <w:r>
        <w:rPr>
          <w:sz w:val="24"/>
          <w:szCs w:val="24"/>
        </w:rPr>
        <w:t xml:space="preserve">Цена Договора в соответствии со Спецификацией (Приложение № 1 к Договору) </w:t>
      </w:r>
      <w:r>
        <w:rPr>
          <w:bCs/>
          <w:sz w:val="24"/>
          <w:szCs w:val="24"/>
        </w:rPr>
        <w:t xml:space="preserve">является твердой и составляет </w:t>
      </w:r>
      <w:r>
        <w:rPr>
          <w:b/>
          <w:bCs/>
          <w:sz w:val="24"/>
          <w:szCs w:val="24"/>
        </w:rPr>
        <w:t>_______ (________) рубля ___ копеек</w:t>
      </w:r>
      <w:r>
        <w:rPr>
          <w:bCs/>
          <w:sz w:val="24"/>
          <w:szCs w:val="24"/>
        </w:rPr>
        <w:t xml:space="preserve"> без учета НДС, при этом НДС исчисляется дополнительно по ставке, установленной статьей 164 Налогового Кодекса Российской Федерации (далее – НК РФ).</w:t>
      </w:r>
    </w:p>
    <w:p>
      <w:pPr>
        <w:pStyle w:val="Normal"/>
        <w:numPr>
          <w:ilvl w:val="1"/>
          <w:numId w:val="2"/>
        </w:numPr>
        <w:tabs>
          <w:tab w:val="clear" w:pos="708"/>
          <w:tab w:val="left" w:pos="1134" w:leader="none"/>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tabs>
          <w:tab w:val="clear" w:pos="708"/>
          <w:tab w:val="left" w:pos="1418" w:leader="none"/>
        </w:tabs>
        <w:ind w:left="0" w:firstLine="709"/>
        <w:jc w:val="both"/>
        <w:rPr>
          <w:bCs/>
          <w:sz w:val="24"/>
          <w:szCs w:val="24"/>
        </w:rPr>
      </w:pPr>
      <w:r>
        <w:rPr>
          <w:bCs/>
          <w:sz w:val="24"/>
          <w:szCs w:val="24"/>
        </w:rPr>
        <w:t>производство и / или приобретение Товара;</w:t>
      </w:r>
    </w:p>
    <w:p>
      <w:pPr>
        <w:pStyle w:val="ListParagraph"/>
        <w:numPr>
          <w:ilvl w:val="2"/>
          <w:numId w:val="2"/>
        </w:numPr>
        <w:tabs>
          <w:tab w:val="clear" w:pos="708"/>
          <w:tab w:val="left" w:pos="1418" w:leader="none"/>
        </w:tabs>
        <w:ind w:left="90" w:firstLine="630"/>
        <w:jc w:val="both"/>
        <w:rPr>
          <w:bCs/>
          <w:sz w:val="24"/>
          <w:szCs w:val="24"/>
        </w:rPr>
      </w:pPr>
      <w:r>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pPr>
        <w:pStyle w:val="Normal"/>
        <w:numPr>
          <w:ilvl w:val="2"/>
          <w:numId w:val="2"/>
        </w:numPr>
        <w:tabs>
          <w:tab w:val="clear" w:pos="708"/>
          <w:tab w:val="left" w:pos="1418" w:leader="none"/>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pPr>
        <w:pStyle w:val="Normal"/>
        <w:numPr>
          <w:ilvl w:val="2"/>
          <w:numId w:val="2"/>
        </w:numPr>
        <w:tabs>
          <w:tab w:val="clear" w:pos="708"/>
          <w:tab w:val="left" w:pos="1418" w:leader="none"/>
        </w:tabs>
        <w:ind w:left="0" w:firstLine="709"/>
        <w:jc w:val="both"/>
        <w:rPr>
          <w:bCs/>
          <w:sz w:val="24"/>
          <w:szCs w:val="24"/>
        </w:rPr>
      </w:pPr>
      <w:r>
        <w:rPr>
          <w:bCs/>
          <w:sz w:val="24"/>
          <w:szCs w:val="24"/>
        </w:rPr>
        <w:t xml:space="preserve">заработную плату, накладные и командировочные расходы, перемещение и размещение персонала Поставщика; </w:t>
      </w:r>
    </w:p>
    <w:p>
      <w:pPr>
        <w:pStyle w:val="Normal"/>
        <w:numPr>
          <w:ilvl w:val="2"/>
          <w:numId w:val="2"/>
        </w:numPr>
        <w:tabs>
          <w:tab w:val="clear" w:pos="708"/>
          <w:tab w:val="left" w:pos="1418" w:leader="none"/>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tabs>
          <w:tab w:val="clear" w:pos="708"/>
          <w:tab w:val="left" w:pos="568" w:leader="none"/>
          <w:tab w:val="left" w:pos="1134" w:leader="none"/>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tabs>
          <w:tab w:val="clear" w:pos="708"/>
          <w:tab w:val="left" w:pos="0" w:leader="none"/>
          <w:tab w:val="left" w:pos="1134" w:leader="none"/>
        </w:tabs>
        <w:ind w:left="0" w:firstLine="709"/>
        <w:jc w:val="both"/>
        <w:rPr>
          <w:sz w:val="24"/>
          <w:szCs w:val="24"/>
        </w:rPr>
      </w:pPr>
      <w:r>
        <w:rPr>
          <w:sz w:val="24"/>
          <w:szCs w:val="24"/>
        </w:rPr>
        <w:t xml:space="preserve">Оплата по Договору осуществляется Покупателем в следующем порядке: </w:t>
      </w:r>
    </w:p>
    <w:p>
      <w:pPr>
        <w:pStyle w:val="ListParagraph"/>
        <w:widowControl/>
        <w:numPr>
          <w:ilvl w:val="2"/>
          <w:numId w:val="2"/>
        </w:numPr>
        <w:tabs>
          <w:tab w:val="clear" w:pos="708"/>
          <w:tab w:val="left" w:pos="0" w:leader="none"/>
          <w:tab w:val="left" w:pos="1418" w:leader="none"/>
        </w:tabs>
        <w:ind w:left="0" w:firstLine="709"/>
        <w:jc w:val="both"/>
        <w:rPr>
          <w:sz w:val="24"/>
          <w:szCs w:val="24"/>
        </w:rPr>
      </w:pPr>
      <w:r>
        <w:rPr>
          <w:sz w:val="24"/>
          <w:szCs w:val="24"/>
        </w:rPr>
        <w:t>Авансовый платеж в размере 30 (тридцати) процентов от стоимости Товара выплачивается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Товара, и с учетом пункта 2.4.3 Договора.</w:t>
      </w:r>
    </w:p>
    <w:p>
      <w:pPr>
        <w:pStyle w:val="ListParagraph"/>
        <w:widowControl/>
        <w:numPr>
          <w:ilvl w:val="2"/>
          <w:numId w:val="2"/>
        </w:numPr>
        <w:tabs>
          <w:tab w:val="clear" w:pos="708"/>
          <w:tab w:val="left" w:pos="0" w:leader="none"/>
          <w:tab w:val="left" w:pos="1418" w:leader="none"/>
        </w:tabs>
        <w:ind w:left="0" w:firstLine="709"/>
        <w:jc w:val="both"/>
        <w:rPr>
          <w:sz w:val="24"/>
          <w:szCs w:val="24"/>
        </w:rPr>
      </w:pPr>
      <w:r>
        <w:rPr>
          <w:sz w:val="24"/>
          <w:szCs w:val="24"/>
        </w:rPr>
        <w:t xml:space="preserve">Окончательный платеж в размере  70 (семидесяти) процентов от стоимости Товара выплачивается Поставщику в </w:t>
      </w:r>
      <w:r>
        <w:rPr>
          <w:sz w:val="24"/>
        </w:rPr>
        <w:t xml:space="preserve">течение </w:t>
      </w:r>
      <w:r>
        <w:rPr>
          <w:sz w:val="24"/>
          <w:highlight w:val="lightGray"/>
        </w:rPr>
        <w:t>20 (двадцати) календарных дней/ 7 (семи) рабочих дней</w:t>
      </w:r>
      <w:r>
        <w:rPr>
          <w:rStyle w:val="FootnoteReference"/>
          <w:sz w:val="24"/>
          <w:highlight w:val="lightGray"/>
        </w:rPr>
        <w:footnoteReference w:id="2"/>
      </w:r>
      <w:r>
        <w:rPr>
          <w:sz w:val="24"/>
          <w:szCs w:val="24"/>
        </w:rPr>
        <w:t>, с даты подписания Сторонами УПД, на основании счета, выставленного Поставщиком, и с учетом пункта 2.4.3 Договора.</w:t>
      </w:r>
    </w:p>
    <w:p>
      <w:pPr>
        <w:pStyle w:val="ListParagraph"/>
        <w:widowControl/>
        <w:numPr>
          <w:ilvl w:val="2"/>
          <w:numId w:val="2"/>
        </w:numPr>
        <w:tabs>
          <w:tab w:val="clear" w:pos="708"/>
          <w:tab w:val="left" w:pos="0" w:leader="none"/>
          <w:tab w:val="left" w:pos="1418" w:leader="none"/>
        </w:tabs>
        <w:ind w:left="0" w:firstLine="709"/>
        <w:jc w:val="both"/>
        <w:rPr>
          <w:sz w:val="24"/>
          <w:szCs w:val="24"/>
        </w:rPr>
      </w:pPr>
      <w:r>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r>
        <w:rPr>
          <w:bCs/>
          <w:sz w:val="24"/>
          <w:szCs w:val="24"/>
        </w:rPr>
        <w:t>Расчет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tabs>
          <w:tab w:val="clear" w:pos="708"/>
          <w:tab w:val="left" w:pos="0" w:leader="none"/>
          <w:tab w:val="left" w:pos="567" w:leader="none"/>
          <w:tab w:val="left" w:pos="716" w:leader="none"/>
          <w:tab w:val="left" w:pos="1134" w:leader="none"/>
        </w:tabs>
        <w:ind w:left="0" w:firstLine="709"/>
        <w:jc w:val="both"/>
        <w:rPr>
          <w:sz w:val="24"/>
          <w:szCs w:val="24"/>
        </w:rPr>
      </w:pPr>
      <w:r>
        <w:rPr>
          <w:sz w:val="24"/>
          <w:szCs w:val="24"/>
        </w:rPr>
        <w:t>Индексация Цены Договора не допускается.</w:t>
      </w:r>
    </w:p>
    <w:p>
      <w:pPr>
        <w:pStyle w:val="ListParagraph"/>
        <w:numPr>
          <w:ilvl w:val="1"/>
          <w:numId w:val="2"/>
        </w:numPr>
        <w:tabs>
          <w:tab w:val="clear" w:pos="708"/>
          <w:tab w:val="left" w:pos="1134" w:leader="none"/>
        </w:tabs>
        <w:ind w:left="0" w:firstLine="709"/>
        <w:jc w:val="both"/>
        <w:rPr>
          <w:sz w:val="24"/>
          <w:szCs w:val="24"/>
        </w:rPr>
      </w:pPr>
      <w:r>
        <w:rPr>
          <w:sz w:val="24"/>
          <w:szCs w:val="24"/>
        </w:rPr>
        <w:t>Поставщик обязан представить Покупателю счет-фактуру (УПД),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(УПД)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(УПД),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ListParagraph"/>
        <w:numPr>
          <w:ilvl w:val="1"/>
          <w:numId w:val="2"/>
        </w:numPr>
        <w:tabs>
          <w:tab w:val="clear" w:pos="708"/>
          <w:tab w:val="left" w:pos="1134" w:leader="none"/>
        </w:tabs>
        <w:ind w:left="0" w:firstLine="709"/>
        <w:jc w:val="both"/>
        <w:rPr>
          <w:sz w:val="24"/>
          <w:szCs w:val="24"/>
        </w:rPr>
      </w:pPr>
      <w:r>
        <w:rPr>
          <w:sz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Покупателя перед Поставщиком,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pPr>
        <w:pStyle w:val="ListParagraph"/>
        <w:tabs>
          <w:tab w:val="clear" w:pos="708"/>
          <w:tab w:val="left" w:pos="1134" w:leader="none"/>
          <w:tab w:val="left" w:pos="1425" w:leader="none"/>
        </w:tabs>
        <w:ind w:left="0" w:firstLine="630"/>
        <w:jc w:val="both"/>
        <w:rPr>
          <w:sz w:val="24"/>
          <w:szCs w:val="24"/>
        </w:rPr>
      </w:pPr>
      <w:r>
        <w:rPr>
          <w:sz w:val="24"/>
        </w:rPr>
        <w:t>Покупатель направляет Поставщику уведомление о проведении сальдо взаимных обязательств Сторон по Договору.</w:t>
      </w:r>
    </w:p>
    <w:p>
      <w:pPr>
        <w:pStyle w:val="Normal"/>
        <w:rPr>
          <w:sz w:val="24"/>
          <w:szCs w:val="24"/>
        </w:rPr>
      </w:pPr>
      <w:r>
        <w:rPr>
          <w:sz w:val="24"/>
          <w:szCs w:val="24"/>
        </w:rPr>
      </w:r>
    </w:p>
    <w:p>
      <w:pPr>
        <w:pStyle w:val="Normal"/>
        <w:numPr>
          <w:ilvl w:val="0"/>
          <w:numId w:val="2"/>
        </w:numPr>
        <w:tabs>
          <w:tab w:val="clear" w:pos="708"/>
          <w:tab w:val="left" w:pos="284" w:leader="none"/>
        </w:tabs>
        <w:ind w:left="0" w:hanging="0"/>
        <w:jc w:val="center"/>
        <w:rPr>
          <w:b/>
          <w:bCs/>
          <w:sz w:val="24"/>
          <w:szCs w:val="24"/>
        </w:rPr>
      </w:pPr>
      <w:r>
        <w:rPr>
          <w:b/>
          <w:bCs/>
          <w:sz w:val="24"/>
          <w:szCs w:val="24"/>
        </w:rPr>
        <w:t>Порядок поставки и приемки Товара</w:t>
      </w:r>
    </w:p>
    <w:p>
      <w:pPr>
        <w:pStyle w:val="ListParagraph"/>
        <w:widowControl/>
        <w:numPr>
          <w:ilvl w:val="1"/>
          <w:numId w:val="2"/>
        </w:numPr>
        <w:tabs>
          <w:tab w:val="clear" w:pos="708"/>
          <w:tab w:val="left" w:pos="1134" w:leader="none"/>
        </w:tabs>
        <w:ind w:left="0" w:firstLine="709"/>
        <w:jc w:val="both"/>
        <w:rPr>
          <w:bCs/>
          <w:sz w:val="24"/>
          <w:szCs w:val="24"/>
        </w:rPr>
      </w:pPr>
      <w:r>
        <w:rPr>
          <w:sz w:val="24"/>
          <w:szCs w:val="24"/>
        </w:rPr>
        <w:t>Поставка Товара осуществляется в Место поставки, указанное в пункте 1.3 Договора.</w:t>
      </w:r>
    </w:p>
    <w:p>
      <w:pPr>
        <w:pStyle w:val="ListParagraph"/>
        <w:widowControl/>
        <w:numPr>
          <w:ilvl w:val="1"/>
          <w:numId w:val="2"/>
        </w:numPr>
        <w:tabs>
          <w:tab w:val="clear" w:pos="708"/>
          <w:tab w:val="left" w:pos="1134" w:leader="none"/>
        </w:tabs>
        <w:ind w:left="0" w:firstLine="709"/>
        <w:jc w:val="both"/>
        <w:rPr>
          <w:bCs/>
          <w:sz w:val="24"/>
          <w:szCs w:val="24"/>
        </w:rPr>
      </w:pPr>
      <w:r>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sz w:val="24"/>
          <w:szCs w:val="24"/>
        </w:rPr>
        <w:t xml:space="preserve"> </w:t>
      </w:r>
      <w:r>
        <w:rPr>
          <w:bCs/>
          <w:sz w:val="24"/>
          <w:szCs w:val="24"/>
        </w:rPr>
        <w:t>в том числе, указанным в Спецификации (Приложение № 1 к Договору), а также Применимого права.</w:t>
      </w:r>
    </w:p>
    <w:p>
      <w:pPr>
        <w:pStyle w:val="ListParagraph"/>
        <w:widowControl/>
        <w:numPr>
          <w:ilvl w:val="1"/>
          <w:numId w:val="2"/>
        </w:numPr>
        <w:tabs>
          <w:tab w:val="clear" w:pos="708"/>
          <w:tab w:val="left" w:pos="1134" w:leader="none"/>
        </w:tabs>
        <w:ind w:lef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tabs>
          <w:tab w:val="clear" w:pos="708"/>
          <w:tab w:val="left" w:pos="1134" w:leader="none"/>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pPr>
        <w:pStyle w:val="Normal"/>
        <w:numPr>
          <w:ilvl w:val="0"/>
          <w:numId w:val="4"/>
        </w:numPr>
        <w:tabs>
          <w:tab w:val="clear" w:pos="708"/>
          <w:tab w:val="left" w:pos="1418" w:leader="none"/>
        </w:tabs>
        <w:ind w:left="0" w:firstLine="709"/>
        <w:jc w:val="both"/>
        <w:rPr>
          <w:sz w:val="24"/>
          <w:szCs w:val="24"/>
        </w:rPr>
      </w:pPr>
      <w:r>
        <w:rPr>
          <w:sz w:val="24"/>
          <w:szCs w:val="24"/>
        </w:rPr>
        <w:t>сертификат качества в 1(одном) экз.;</w:t>
      </w:r>
    </w:p>
    <w:p>
      <w:pPr>
        <w:pStyle w:val="Normal"/>
        <w:numPr>
          <w:ilvl w:val="0"/>
          <w:numId w:val="4"/>
        </w:numPr>
        <w:tabs>
          <w:tab w:val="clear" w:pos="708"/>
          <w:tab w:val="left" w:pos="1418" w:leader="none"/>
        </w:tabs>
        <w:ind w:left="0" w:firstLine="709"/>
        <w:jc w:val="both"/>
        <w:rPr>
          <w:sz w:val="24"/>
          <w:szCs w:val="24"/>
        </w:rPr>
      </w:pPr>
      <w:r>
        <w:rPr>
          <w:sz w:val="24"/>
          <w:szCs w:val="24"/>
        </w:rPr>
        <w:t>технический паспорт на русском языке в 1(одном) экз.;</w:t>
      </w:r>
    </w:p>
    <w:p>
      <w:pPr>
        <w:pStyle w:val="Normal"/>
        <w:numPr>
          <w:ilvl w:val="0"/>
          <w:numId w:val="4"/>
        </w:numPr>
        <w:tabs>
          <w:tab w:val="clear" w:pos="708"/>
          <w:tab w:val="left" w:pos="1418" w:leader="none"/>
        </w:tabs>
        <w:ind w:left="0" w:firstLine="709"/>
        <w:jc w:val="both"/>
        <w:rPr>
          <w:sz w:val="24"/>
          <w:szCs w:val="24"/>
        </w:rPr>
      </w:pPr>
      <w:r>
        <w:rPr>
          <w:sz w:val="24"/>
          <w:szCs w:val="24"/>
        </w:rPr>
        <w:t>инструкция по эксплуатации на русском языке в 1(одном) экз.;</w:t>
      </w:r>
    </w:p>
    <w:p>
      <w:pPr>
        <w:pStyle w:val="Normal"/>
        <w:numPr>
          <w:ilvl w:val="0"/>
          <w:numId w:val="4"/>
        </w:numPr>
        <w:tabs>
          <w:tab w:val="clear" w:pos="708"/>
          <w:tab w:val="left" w:pos="1418" w:leader="none"/>
        </w:tabs>
        <w:ind w:left="0" w:firstLine="709"/>
        <w:jc w:val="both"/>
        <w:rPr>
          <w:sz w:val="24"/>
          <w:szCs w:val="24"/>
        </w:rPr>
      </w:pPr>
      <w:r>
        <w:rPr>
          <w:sz w:val="24"/>
          <w:szCs w:val="24"/>
        </w:rPr>
        <w:t>упаковочный лист в 1(одном) экз.;</w:t>
      </w:r>
    </w:p>
    <w:p>
      <w:pPr>
        <w:pStyle w:val="Normal"/>
        <w:numPr>
          <w:ilvl w:val="0"/>
          <w:numId w:val="3"/>
        </w:numPr>
        <w:tabs>
          <w:tab w:val="clear" w:pos="708"/>
          <w:tab w:val="left" w:pos="1418" w:leader="none"/>
        </w:tabs>
        <w:ind w:left="0" w:firstLine="709"/>
        <w:jc w:val="both"/>
        <w:rPr>
          <w:sz w:val="24"/>
          <w:szCs w:val="24"/>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pPr>
        <w:pStyle w:val="Normal"/>
        <w:numPr>
          <w:ilvl w:val="0"/>
          <w:numId w:val="3"/>
        </w:numPr>
        <w:tabs>
          <w:tab w:val="clear" w:pos="708"/>
          <w:tab w:val="left" w:pos="1418" w:leader="none"/>
        </w:tabs>
        <w:ind w:left="0" w:firstLine="709"/>
        <w:jc w:val="both"/>
        <w:rPr>
          <w:sz w:val="24"/>
          <w:szCs w:val="24"/>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1(одном) экз.;</w:t>
      </w:r>
    </w:p>
    <w:p>
      <w:pPr>
        <w:pStyle w:val="Normal"/>
        <w:numPr>
          <w:ilvl w:val="0"/>
          <w:numId w:val="3"/>
        </w:numPr>
        <w:tabs>
          <w:tab w:val="clear" w:pos="708"/>
          <w:tab w:val="left" w:pos="1418" w:leader="none"/>
        </w:tabs>
        <w:ind w:left="0" w:firstLine="709"/>
        <w:jc w:val="both"/>
        <w:rPr>
          <w:sz w:val="24"/>
          <w:szCs w:val="24"/>
        </w:rPr>
      </w:pPr>
      <w:r>
        <w:rPr>
          <w:sz w:val="24"/>
          <w:szCs w:val="24"/>
        </w:rPr>
        <w:t>УПД в 2 –х (двух) экз.</w:t>
      </w:r>
    </w:p>
    <w:p>
      <w:pPr>
        <w:pStyle w:val="ListParagraph"/>
        <w:widowControl/>
        <w:numPr>
          <w:ilvl w:val="1"/>
          <w:numId w:val="2"/>
        </w:numPr>
        <w:tabs>
          <w:tab w:val="clear" w:pos="708"/>
          <w:tab w:val="left" w:pos="1134" w:leader="none"/>
          <w:tab w:val="left" w:pos="1418" w:leader="none"/>
        </w:tabs>
        <w:ind w:left="0" w:firstLine="709"/>
        <w:jc w:val="both"/>
        <w:rPr>
          <w:bCs/>
          <w:sz w:val="24"/>
          <w:szCs w:val="24"/>
        </w:rPr>
      </w:pPr>
      <w:r>
        <w:rPr>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pPr>
        <w:pStyle w:val="ListParagraph"/>
        <w:tabs>
          <w:tab w:val="clear" w:pos="708"/>
          <w:tab w:val="left" w:pos="1134" w:leader="none"/>
          <w:tab w:val="left" w:pos="1418" w:leader="none"/>
        </w:tabs>
        <w:ind w:left="0" w:firstLine="709"/>
        <w:jc w:val="both"/>
        <w:rPr>
          <w:bCs/>
          <w:sz w:val="24"/>
          <w:szCs w:val="24"/>
        </w:rPr>
      </w:pPr>
      <w:r>
        <w:rPr>
          <w:bCs/>
          <w:sz w:val="24"/>
          <w:szCs w:val="24"/>
        </w:rPr>
        <w:t>Оригинал доверенности представителя Поставщика подлежит передаче Покупателю.</w:t>
      </w:r>
    </w:p>
    <w:p>
      <w:pPr>
        <w:pStyle w:val="ListParagraph"/>
        <w:widowControl/>
        <w:numPr>
          <w:ilvl w:val="1"/>
          <w:numId w:val="2"/>
        </w:numPr>
        <w:tabs>
          <w:tab w:val="clear" w:pos="708"/>
          <w:tab w:val="left" w:pos="1134" w:leader="none"/>
          <w:tab w:val="left" w:pos="1418" w:leader="none"/>
        </w:tabs>
        <w:ind w:left="0" w:firstLine="709"/>
        <w:jc w:val="both"/>
        <w:rPr>
          <w:bCs/>
          <w:sz w:val="24"/>
          <w:szCs w:val="24"/>
        </w:rPr>
      </w:pPr>
      <w:r>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pPr>
        <w:pStyle w:val="ListParagraph"/>
        <w:widowControl/>
        <w:numPr>
          <w:ilvl w:val="1"/>
          <w:numId w:val="2"/>
        </w:numPr>
        <w:tabs>
          <w:tab w:val="clear" w:pos="708"/>
          <w:tab w:val="left" w:pos="1134" w:leader="none"/>
          <w:tab w:val="left" w:pos="1418" w:leader="none"/>
        </w:tabs>
        <w:ind w:left="0" w:firstLine="709"/>
        <w:jc w:val="both"/>
        <w:rPr>
          <w:bCs/>
          <w:sz w:val="24"/>
          <w:szCs w:val="24"/>
        </w:rPr>
      </w:pPr>
      <w:bookmarkStart w:id="0"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0"/>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tabs>
          <w:tab w:val="clear" w:pos="708"/>
          <w:tab w:val="left" w:pos="1418" w:leader="none"/>
        </w:tabs>
        <w:ind w:left="0" w:firstLine="709"/>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tabs>
          <w:tab w:val="clear" w:pos="708"/>
          <w:tab w:val="left" w:pos="1418" w:leader="none"/>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tabs>
          <w:tab w:val="clear" w:pos="708"/>
          <w:tab w:val="left" w:pos="1134" w:leader="none"/>
          <w:tab w:val="left" w:pos="1418" w:leader="none"/>
        </w:tabs>
        <w:ind w:left="0" w:firstLine="709"/>
        <w:jc w:val="both"/>
        <w:rPr>
          <w:sz w:val="24"/>
          <w:szCs w:val="24"/>
        </w:rPr>
      </w:pPr>
      <w:r>
        <w:rPr>
          <w:sz w:val="24"/>
          <w:szCs w:val="24"/>
        </w:rPr>
        <w:t xml:space="preserve">Погрузка, доставка, разгрузка и перемещение Товара по территории Покупателя </w:t>
      </w:r>
      <w:r>
        <w:rPr>
          <w:bCs/>
          <w:sz w:val="24"/>
          <w:szCs w:val="24"/>
        </w:rPr>
        <w:t>осуществляется</w:t>
      </w:r>
      <w:r>
        <w:rPr>
          <w:sz w:val="24"/>
          <w:szCs w:val="24"/>
        </w:rPr>
        <w:t xml:space="preserve"> Поставщиком. Стоимость погрузки, доставки, разгрузки, перемещение Товара включена в стоимость Товара.</w:t>
      </w:r>
    </w:p>
    <w:p>
      <w:pPr>
        <w:pStyle w:val="ListParagraph"/>
        <w:widowControl/>
        <w:numPr>
          <w:ilvl w:val="1"/>
          <w:numId w:val="2"/>
        </w:numPr>
        <w:tabs>
          <w:tab w:val="clear" w:pos="708"/>
          <w:tab w:val="left" w:pos="1134" w:leader="none"/>
        </w:tabs>
        <w:ind w:left="0" w:firstLine="709"/>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tabs>
          <w:tab w:val="clear" w:pos="708"/>
          <w:tab w:val="left" w:pos="1418" w:leader="none"/>
        </w:tabs>
        <w:ind w:left="0" w:firstLine="709"/>
        <w:jc w:val="both"/>
        <w:rPr>
          <w:sz w:val="24"/>
          <w:szCs w:val="24"/>
        </w:rPr>
      </w:pPr>
      <w:bookmarkStart w:id="1" w:name="_Ref361396594"/>
      <w:r>
        <w:rPr>
          <w:sz w:val="24"/>
          <w:szCs w:val="24"/>
        </w:rPr>
        <w:t>Датой поставки Товара является дата подписания Сторонами УПД.</w:t>
      </w:r>
      <w:bookmarkEnd w:id="1"/>
      <w:r>
        <w:rPr>
          <w:sz w:val="24"/>
          <w:szCs w:val="24"/>
        </w:rPr>
        <w:t xml:space="preserve"> </w:t>
      </w:r>
    </w:p>
    <w:p>
      <w:pPr>
        <w:pStyle w:val="ListParagraph"/>
        <w:widowControl/>
        <w:numPr>
          <w:ilvl w:val="1"/>
          <w:numId w:val="2"/>
        </w:numPr>
        <w:tabs>
          <w:tab w:val="clear" w:pos="708"/>
          <w:tab w:val="left" w:pos="1418" w:leader="none"/>
        </w:tabs>
        <w:ind w:left="0" w:firstLine="709"/>
        <w:jc w:val="both"/>
        <w:rPr>
          <w:sz w:val="24"/>
          <w:szCs w:val="24"/>
        </w:rPr>
      </w:pPr>
      <w:r>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tabs>
          <w:tab w:val="clear" w:pos="708"/>
          <w:tab w:val="left" w:pos="1418" w:leader="none"/>
        </w:tabs>
        <w:ind w:left="0" w:firstLine="709"/>
        <w:jc w:val="both"/>
        <w:rPr>
          <w:sz w:val="24"/>
          <w:szCs w:val="24"/>
        </w:rPr>
      </w:pPr>
      <w:r>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pPr>
        <w:pStyle w:val="ListParagraph"/>
        <w:tabs>
          <w:tab w:val="clear" w:pos="708"/>
          <w:tab w:val="left" w:pos="1418" w:leader="none"/>
        </w:tabs>
        <w:ind w:left="0" w:firstLine="709"/>
        <w:jc w:val="both"/>
        <w:rPr>
          <w:sz w:val="24"/>
          <w:szCs w:val="24"/>
        </w:rPr>
      </w:pPr>
      <w:bookmarkStart w:id="2" w:name="_Ref361408232"/>
      <w:r>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2"/>
      <w:r>
        <w:rPr>
          <w:sz w:val="24"/>
          <w:szCs w:val="24"/>
        </w:rPr>
        <w:t xml:space="preserve"> </w:t>
      </w:r>
    </w:p>
    <w:p>
      <w:pPr>
        <w:pStyle w:val="ListParagraph"/>
        <w:widowControl/>
        <w:numPr>
          <w:ilvl w:val="1"/>
          <w:numId w:val="2"/>
        </w:numPr>
        <w:tabs>
          <w:tab w:val="clear" w:pos="708"/>
          <w:tab w:val="left" w:pos="1418" w:leader="none"/>
        </w:tabs>
        <w:ind w:left="0" w:firstLine="709"/>
        <w:jc w:val="both"/>
        <w:rPr>
          <w:sz w:val="24"/>
          <w:szCs w:val="24"/>
        </w:rPr>
      </w:pPr>
      <w:r>
        <w:rPr>
          <w:sz w:val="24"/>
          <w:szCs w:val="24"/>
        </w:rPr>
        <w:t xml:space="preserve">Приемка Товара со вскрытием тары и упаковки производится Покупателем в присутствии представителя Поставщика в течение 10 (десяти) рабочих дней </w:t>
        <w:br/>
        <w:t xml:space="preserve">с даты подписания Покупателем транспортных документов. В случае отсутствия замечаний Покупатель подписывает </w:t>
      </w:r>
      <w:r>
        <w:rPr>
          <w:sz w:val="24"/>
          <w:szCs w:val="24"/>
          <w:lang w:val="en-US"/>
        </w:rPr>
        <w:t>УПД</w:t>
      </w:r>
      <w:r>
        <w:rPr>
          <w:sz w:val="24"/>
          <w:szCs w:val="24"/>
        </w:rPr>
        <w:t>.</w:t>
      </w:r>
    </w:p>
    <w:p>
      <w:pPr>
        <w:pStyle w:val="Normal"/>
        <w:numPr>
          <w:ilvl w:val="1"/>
          <w:numId w:val="2"/>
        </w:numPr>
        <w:tabs>
          <w:tab w:val="clear" w:pos="708"/>
          <w:tab w:val="left" w:pos="568" w:leader="none"/>
          <w:tab w:val="left" w:pos="1134" w:leader="none"/>
          <w:tab w:val="left" w:pos="1418" w:leader="none"/>
        </w:tabs>
        <w:ind w:left="0" w:firstLine="709"/>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tabs>
          <w:tab w:val="clear" w:pos="708"/>
          <w:tab w:val="left" w:pos="1134" w:leader="none"/>
          <w:tab w:val="left" w:pos="1418" w:leader="none"/>
          <w:tab w:val="left" w:pos="1851" w:leader="none"/>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tabs>
          <w:tab w:val="clear" w:pos="708"/>
          <w:tab w:val="left" w:pos="1134" w:leader="none"/>
          <w:tab w:val="left" w:pos="1418" w:leader="none"/>
          <w:tab w:val="left" w:pos="1851" w:leader="none"/>
        </w:tabs>
        <w:ind w:firstLine="709"/>
        <w:jc w:val="both"/>
        <w:rPr>
          <w:sz w:val="24"/>
          <w:szCs w:val="24"/>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Товара.</w:t>
      </w:r>
    </w:p>
    <w:p>
      <w:pPr>
        <w:pStyle w:val="Normal"/>
        <w:numPr>
          <w:ilvl w:val="1"/>
          <w:numId w:val="2"/>
        </w:numPr>
        <w:tabs>
          <w:tab w:val="clear" w:pos="708"/>
          <w:tab w:val="left" w:pos="1418" w:leader="none"/>
        </w:tabs>
        <w:ind w:lef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pPr>
        <w:pStyle w:val="Normal"/>
        <w:tabs>
          <w:tab w:val="clear" w:pos="708"/>
          <w:tab w:val="left" w:pos="1283" w:leader="none"/>
          <w:tab w:val="left" w:pos="1851" w:leader="none"/>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2"/>
        </w:numPr>
        <w:tabs>
          <w:tab w:val="clear" w:pos="708"/>
          <w:tab w:val="left" w:pos="1134" w:leader="none"/>
          <w:tab w:val="left" w:pos="1418" w:leader="none"/>
        </w:tabs>
        <w:ind w:left="0" w:firstLine="709"/>
        <w:jc w:val="both"/>
        <w:rPr>
          <w:b/>
          <w:color w:val="000000"/>
          <w:sz w:val="24"/>
          <w:szCs w:val="24"/>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Pr>
          <w:b/>
          <w:bCs/>
          <w:color w:val="000000"/>
          <w:sz w:val="24"/>
          <w:szCs w:val="24"/>
        </w:rPr>
        <w:t xml:space="preserve"> </w:t>
      </w:r>
    </w:p>
    <w:p>
      <w:pPr>
        <w:pStyle w:val="ListParagraph"/>
        <w:widowControl/>
        <w:numPr>
          <w:ilvl w:val="1"/>
          <w:numId w:val="2"/>
        </w:numPr>
        <w:tabs>
          <w:tab w:val="clear" w:pos="708"/>
          <w:tab w:val="left" w:pos="1134" w:leader="none"/>
          <w:tab w:val="left" w:pos="1418" w:leader="none"/>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УПД.</w:t>
      </w:r>
    </w:p>
    <w:p>
      <w:pPr>
        <w:pStyle w:val="Normal"/>
        <w:ind w:firstLine="709"/>
        <w:jc w:val="both"/>
        <w:rPr>
          <w:sz w:val="24"/>
          <w:szCs w:val="24"/>
        </w:rPr>
      </w:pPr>
      <w:r>
        <w:rPr>
          <w:sz w:val="24"/>
          <w:szCs w:val="24"/>
        </w:rPr>
      </w:r>
    </w:p>
    <w:p>
      <w:pPr>
        <w:pStyle w:val="ListParagraph"/>
        <w:numPr>
          <w:ilvl w:val="0"/>
          <w:numId w:val="2"/>
        </w:numPr>
        <w:tabs>
          <w:tab w:val="clear" w:pos="708"/>
          <w:tab w:val="left" w:pos="284" w:leader="none"/>
        </w:tabs>
        <w:ind w:left="0" w:firstLine="709"/>
        <w:jc w:val="center"/>
        <w:rPr>
          <w:b/>
          <w:sz w:val="24"/>
          <w:szCs w:val="24"/>
        </w:rPr>
      </w:pPr>
      <w:r>
        <w:rPr>
          <w:b/>
          <w:sz w:val="24"/>
          <w:szCs w:val="24"/>
        </w:rPr>
        <w:t>Гарантийный срок</w:t>
      </w:r>
    </w:p>
    <w:p>
      <w:pPr>
        <w:pStyle w:val="ListParagraph"/>
        <w:numPr>
          <w:ilvl w:val="1"/>
          <w:numId w:val="2"/>
        </w:numPr>
        <w:tabs>
          <w:tab w:val="clear" w:pos="708"/>
          <w:tab w:val="left" w:pos="1134" w:leader="none"/>
          <w:tab w:val="left" w:pos="1440" w:leader="none"/>
        </w:tabs>
        <w:ind w:left="0" w:firstLine="630"/>
        <w:jc w:val="both"/>
        <w:rPr>
          <w:sz w:val="24"/>
          <w:szCs w:val="24"/>
        </w:rPr>
      </w:pPr>
      <w:r>
        <w:rPr>
          <w:sz w:val="24"/>
          <w:szCs w:val="24"/>
        </w:rPr>
        <w:t xml:space="preserve">Гарантийный срок на Товар, поставленный по Договору, должен соответствовать гарантии, заявленной производителем и начинает течь с даты подписания Сторонами УПД. Гарантийный срок может быть продлен в соответствии с условиями Договора. </w:t>
      </w:r>
    </w:p>
    <w:p>
      <w:pPr>
        <w:pStyle w:val="ListParagraph"/>
        <w:tabs>
          <w:tab w:val="clear" w:pos="708"/>
          <w:tab w:val="left" w:pos="1134" w:leader="none"/>
          <w:tab w:val="left" w:pos="1440" w:leader="none"/>
        </w:tabs>
        <w:ind w:left="0" w:firstLine="630"/>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tabs>
          <w:tab w:val="clear" w:pos="708"/>
          <w:tab w:val="left" w:pos="1134" w:leader="none"/>
          <w:tab w:val="left" w:pos="1440" w:leader="none"/>
        </w:tabs>
        <w:ind w:left="0" w:firstLine="630"/>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tabs>
          <w:tab w:val="clear" w:pos="708"/>
          <w:tab w:val="left" w:pos="1134" w:leader="none"/>
        </w:tabs>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tabs>
          <w:tab w:val="clear" w:pos="708"/>
          <w:tab w:val="left" w:pos="1134" w:leader="none"/>
        </w:tabs>
        <w:ind w:left="0" w:firstLine="709"/>
        <w:jc w:val="both"/>
        <w:rPr>
          <w:sz w:val="24"/>
          <w:szCs w:val="24"/>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Pr>
          <w:sz w:val="24"/>
          <w:szCs w:val="24"/>
        </w:rPr>
        <w:t>Покупателем в соответствии с пунктом 4.3 Договора</w:t>
      </w:r>
      <w:bookmarkEnd w:id="3"/>
      <w:bookmarkEnd w:id="4"/>
      <w:r>
        <w:rPr>
          <w:sz w:val="24"/>
          <w:szCs w:val="24"/>
        </w:rPr>
        <w:t xml:space="preserve">, путем замены или ремонта Товара. </w:t>
      </w:r>
    </w:p>
    <w:p>
      <w:pPr>
        <w:pStyle w:val="Normal"/>
        <w:ind w:firstLine="709"/>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tabs>
          <w:tab w:val="clear" w:pos="708"/>
          <w:tab w:val="left" w:pos="1134" w:leader="none"/>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tabs>
          <w:tab w:val="clear" w:pos="708"/>
          <w:tab w:val="left" w:pos="1134" w:leader="none"/>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2"/>
        </w:numPr>
        <w:tabs>
          <w:tab w:val="clear" w:pos="708"/>
          <w:tab w:val="left" w:pos="1134" w:leader="none"/>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tabs>
          <w:tab w:val="clear" w:pos="708"/>
          <w:tab w:val="left" w:pos="1134" w:leader="none"/>
        </w:tabs>
        <w:ind w:left="709" w:hanging="0"/>
        <w:jc w:val="both"/>
        <w:rPr>
          <w:sz w:val="24"/>
          <w:szCs w:val="24"/>
        </w:rPr>
      </w:pPr>
      <w:r>
        <w:rPr>
          <w:sz w:val="24"/>
          <w:szCs w:val="24"/>
        </w:rPr>
      </w:r>
    </w:p>
    <w:p>
      <w:pPr>
        <w:pStyle w:val="Normal"/>
        <w:numPr>
          <w:ilvl w:val="0"/>
          <w:numId w:val="2"/>
        </w:numPr>
        <w:tabs>
          <w:tab w:val="clear" w:pos="708"/>
          <w:tab w:val="left" w:pos="284" w:leader="none"/>
        </w:tabs>
        <w:ind w:left="0" w:hanging="0"/>
        <w:jc w:val="center"/>
        <w:rPr>
          <w:b/>
          <w:bCs/>
          <w:sz w:val="24"/>
          <w:szCs w:val="24"/>
        </w:rPr>
      </w:pPr>
      <w:r>
        <w:rPr>
          <w:b/>
          <w:bCs/>
          <w:sz w:val="24"/>
          <w:szCs w:val="24"/>
        </w:rPr>
        <w:t>Ответственность Сторон</w:t>
      </w:r>
    </w:p>
    <w:p>
      <w:pPr>
        <w:pStyle w:val="ListParagraph"/>
        <w:numPr>
          <w:ilvl w:val="1"/>
          <w:numId w:val="2"/>
        </w:numPr>
        <w:tabs>
          <w:tab w:val="clear" w:pos="708"/>
          <w:tab w:val="left" w:pos="1134" w:leader="none"/>
        </w:tabs>
        <w:ind w:left="0" w:firstLine="709"/>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2"/>
        </w:numPr>
        <w:tabs>
          <w:tab w:val="clear" w:pos="708"/>
          <w:tab w:val="left" w:pos="1134" w:leader="none"/>
        </w:tabs>
        <w:ind w:left="0" w:firstLine="709"/>
        <w:jc w:val="both"/>
        <w:rPr>
          <w:bCs/>
          <w:sz w:val="24"/>
          <w:szCs w:val="24"/>
        </w:rPr>
      </w:pPr>
      <w:r>
        <w:rPr>
          <w:bCs/>
          <w:sz w:val="24"/>
          <w:szCs w:val="24"/>
        </w:rPr>
        <w:t xml:space="preserve">Покупатель не несет ответственности за ненадлежащее исполнение обязательств </w:t>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Normal"/>
        <w:widowControl/>
        <w:numPr>
          <w:ilvl w:val="1"/>
          <w:numId w:val="2"/>
        </w:numPr>
        <w:tabs>
          <w:tab w:val="clear" w:pos="708"/>
          <w:tab w:val="left" w:pos="1134" w:leader="none"/>
        </w:tabs>
        <w:ind w:left="0" w:firstLine="709"/>
        <w:jc w:val="both"/>
        <w:rPr>
          <w:bCs/>
          <w:sz w:val="24"/>
          <w:szCs w:val="24"/>
        </w:rPr>
      </w:pPr>
      <w:r>
        <w:rPr>
          <w:bCs/>
          <w:sz w:val="24"/>
          <w:szCs w:val="24"/>
        </w:rPr>
        <w:t xml:space="preserve">В случае </w:t>
      </w:r>
      <w:r>
        <w:rPr>
          <w:sz w:val="24"/>
          <w:szCs w:val="24"/>
        </w:rPr>
        <w:t>нарушения Поставщиком обязательств по поставке Товара (</w:t>
      </w:r>
      <w:r>
        <w:rPr>
          <w:rFonts w:eastAsia="Calibri"/>
          <w:bCs/>
          <w:sz w:val="24"/>
          <w:szCs w:val="24"/>
        </w:rPr>
        <w:t>нарушение срока поставки, недопоставка</w:t>
      </w:r>
      <w:r>
        <w:rPr>
          <w:sz w:val="24"/>
          <w:szCs w:val="24"/>
        </w:rPr>
        <w:t>), Покупатель вправе требовать уплаты Поставщиком</w:t>
      </w:r>
      <w:r>
        <w:rPr>
          <w:bCs/>
          <w:sz w:val="24"/>
          <w:szCs w:val="24"/>
        </w:rPr>
        <w:t xml:space="preserve"> неустойки в размере </w:t>
      </w:r>
      <w:r>
        <w:rPr>
          <w:rFonts w:eastAsia="Calibri"/>
          <w:bCs/>
          <w:sz w:val="24"/>
          <w:szCs w:val="24"/>
        </w:rPr>
        <w:t xml:space="preserve">0,1 (ноль целых и одна десятая) </w:t>
      </w:r>
      <w:r>
        <w:rPr>
          <w:bCs/>
          <w:sz w:val="24"/>
          <w:szCs w:val="24"/>
        </w:rPr>
        <w:t xml:space="preserve">процента от цены Договора за каждый день просрочки. </w:t>
      </w:r>
    </w:p>
    <w:p>
      <w:pPr>
        <w:pStyle w:val="Normal"/>
        <w:widowControl/>
        <w:numPr>
          <w:ilvl w:val="1"/>
          <w:numId w:val="2"/>
        </w:numPr>
        <w:tabs>
          <w:tab w:val="clear" w:pos="708"/>
          <w:tab w:val="left" w:pos="1134" w:leader="none"/>
        </w:tabs>
        <w:ind w:left="0" w:firstLine="709"/>
        <w:jc w:val="both"/>
        <w:rPr>
          <w:bCs/>
          <w:sz w:val="24"/>
          <w:szCs w:val="24"/>
        </w:rPr>
      </w:pPr>
      <w:r>
        <w:rPr>
          <w:bCs/>
          <w:sz w:val="24"/>
          <w:szCs w:val="24"/>
        </w:rPr>
        <w:t>В случае несвоевременного устранения Поставщиком выявленных недостатков Товара, Покупатель вправе потребовать уплаты Покупателем:</w:t>
      </w:r>
    </w:p>
    <w:p>
      <w:pPr>
        <w:pStyle w:val="Normal"/>
        <w:widowControl/>
        <w:tabs>
          <w:tab w:val="clear" w:pos="708"/>
          <w:tab w:val="left" w:pos="1134" w:leader="none"/>
        </w:tabs>
        <w:ind w:firstLine="709"/>
        <w:jc w:val="both"/>
        <w:rPr>
          <w:bCs/>
          <w:sz w:val="24"/>
          <w:szCs w:val="24"/>
        </w:rPr>
      </w:pPr>
      <w:r>
        <w:rPr>
          <w:bCs/>
          <w:sz w:val="24"/>
          <w:szCs w:val="24"/>
        </w:rPr>
        <w:t xml:space="preserve">5.4.1. неустойки в размере 0,1 </w:t>
      </w:r>
      <w:r>
        <w:rPr>
          <w:sz w:val="24"/>
          <w:szCs w:val="24"/>
        </w:rPr>
        <w:t>(ноль целых и одна десятая) процента</w:t>
      </w:r>
      <w:r>
        <w:rPr>
          <w:bCs/>
          <w:sz w:val="24"/>
          <w:szCs w:val="24"/>
        </w:rPr>
        <w:t xml:space="preserve">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r>
        <w:rPr>
          <w:rFonts w:eastAsia="Calibri"/>
          <w:bCs/>
          <w:sz w:val="24"/>
          <w:szCs w:val="24"/>
        </w:rPr>
        <w:t>;</w:t>
      </w:r>
    </w:p>
    <w:p>
      <w:pPr>
        <w:pStyle w:val="ListParagraph"/>
        <w:widowControl/>
        <w:tabs>
          <w:tab w:val="clear" w:pos="708"/>
          <w:tab w:val="left" w:pos="1418" w:leader="none"/>
          <w:tab w:val="left" w:pos="1701" w:leader="none"/>
        </w:tabs>
        <w:ind w:left="0" w:firstLine="709"/>
        <w:jc w:val="both"/>
        <w:rPr>
          <w:bCs/>
          <w:sz w:val="24"/>
          <w:szCs w:val="24"/>
        </w:rPr>
      </w:pPr>
      <w:r>
        <w:rPr>
          <w:bCs/>
          <w:sz w:val="24"/>
          <w:szCs w:val="24"/>
        </w:rPr>
        <w:t xml:space="preserve">5.4.2. неустойки в размере 0,1 </w:t>
      </w:r>
      <w:r>
        <w:rPr>
          <w:sz w:val="24"/>
          <w:szCs w:val="24"/>
        </w:rPr>
        <w:t>(ноль целых и одна десятая) процента</w:t>
      </w:r>
      <w:r>
        <w:rPr>
          <w:bCs/>
          <w:sz w:val="24"/>
          <w:szCs w:val="24"/>
        </w:rPr>
        <w:t xml:space="preserve"> от стоимости некачественного Товара за каждый день просрочки – в случае несвоевременного устранения выявленных недостатков, не влияющих на возможность эксплуатации (использования) Товара в целом.</w:t>
      </w:r>
    </w:p>
    <w:p>
      <w:pPr>
        <w:pStyle w:val="ListParagraph"/>
        <w:widowControl/>
        <w:numPr>
          <w:ilvl w:val="1"/>
          <w:numId w:val="2"/>
        </w:numPr>
        <w:tabs>
          <w:tab w:val="clear" w:pos="708"/>
          <w:tab w:val="left" w:pos="1134" w:leader="none"/>
          <w:tab w:val="left" w:pos="1701" w:leader="none"/>
        </w:tabs>
        <w:ind w:left="0" w:firstLine="709"/>
        <w:jc w:val="both"/>
        <w:rPr>
          <w:sz w:val="24"/>
          <w:szCs w:val="24"/>
        </w:rPr>
      </w:pPr>
      <w:r>
        <w:rPr>
          <w:rFonts w:eastAsia="Calibri"/>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Pr>
          <w:sz w:val="24"/>
          <w:szCs w:val="24"/>
        </w:rPr>
        <w:t>.</w:t>
      </w:r>
    </w:p>
    <w:p>
      <w:pPr>
        <w:pStyle w:val="ListParagraph"/>
        <w:widowControl/>
        <w:numPr>
          <w:ilvl w:val="1"/>
          <w:numId w:val="2"/>
        </w:numPr>
        <w:tabs>
          <w:tab w:val="clear" w:pos="708"/>
          <w:tab w:val="left" w:pos="1134" w:leader="none"/>
          <w:tab w:val="left" w:pos="1701" w:leader="none"/>
        </w:tabs>
        <w:ind w:left="0" w:firstLine="709"/>
        <w:jc w:val="both"/>
        <w:rPr>
          <w:bCs/>
          <w:sz w:val="24"/>
          <w:szCs w:val="24"/>
        </w:rPr>
      </w:pPr>
      <w:r>
        <w:rPr>
          <w:bCs/>
          <w:sz w:val="24"/>
          <w:szCs w:val="24"/>
        </w:rPr>
        <w:t>В случае нарушения Покупателем сроков оплаты поставленного Товара (за исключением срока оплаты авансовых платежей),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bookmarkStart w:id="5" w:name="_GoBack"/>
      <w:bookmarkEnd w:id="5"/>
      <w:r>
        <w:rPr>
          <w:bCs/>
          <w:sz w:val="24"/>
          <w:szCs w:val="24"/>
        </w:rPr>
        <w:t>.</w:t>
      </w:r>
    </w:p>
    <w:p>
      <w:pPr>
        <w:pStyle w:val="ListParagraph"/>
        <w:widowControl/>
        <w:numPr>
          <w:ilvl w:val="1"/>
          <w:numId w:val="2"/>
        </w:numPr>
        <w:tabs>
          <w:tab w:val="clear" w:pos="708"/>
          <w:tab w:val="left" w:pos="1134" w:leader="none"/>
        </w:tabs>
        <w:ind w:left="0" w:firstLine="709"/>
        <w:jc w:val="both"/>
        <w:rPr>
          <w:bCs/>
          <w:sz w:val="24"/>
          <w:szCs w:val="24"/>
        </w:rPr>
      </w:pPr>
      <w:r>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3 к Договору. </w:t>
      </w:r>
    </w:p>
    <w:p>
      <w:pPr>
        <w:pStyle w:val="ListParagraph"/>
        <w:widowControl/>
        <w:numPr>
          <w:ilvl w:val="1"/>
          <w:numId w:val="2"/>
        </w:numPr>
        <w:tabs>
          <w:tab w:val="clear" w:pos="708"/>
          <w:tab w:val="left" w:pos="1134" w:leader="none"/>
        </w:tabs>
        <w:ind w:left="0" w:firstLine="709"/>
        <w:jc w:val="both"/>
        <w:rPr>
          <w:bCs/>
          <w:sz w:val="24"/>
          <w:szCs w:val="24"/>
        </w:rPr>
      </w:pPr>
      <w:r>
        <w:rPr>
          <w:bCs/>
          <w:sz w:val="24"/>
          <w:szCs w:val="24"/>
        </w:rPr>
        <w:t xml:space="preserve">Если в результате составления и выставления Поставщиком счетов-фактур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tabs>
          <w:tab w:val="clear" w:pos="708"/>
          <w:tab w:val="left" w:pos="1134" w:leader="none"/>
        </w:tabs>
        <w:ind w:left="0" w:firstLine="709"/>
        <w:jc w:val="both"/>
        <w:rPr>
          <w:bCs/>
          <w:sz w:val="24"/>
          <w:szCs w:val="24"/>
        </w:rPr>
      </w:pPr>
      <w:r>
        <w:rPr>
          <w:bCs/>
          <w:sz w:val="24"/>
          <w:szCs w:val="24"/>
        </w:rPr>
        <w:t>В случае нарушения Поставщиком сроков предоставления УПД,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numPr>
          <w:ilvl w:val="1"/>
          <w:numId w:val="2"/>
        </w:numPr>
        <w:tabs>
          <w:tab w:val="clear" w:pos="708"/>
          <w:tab w:val="left" w:pos="1276" w:leader="none"/>
        </w:tabs>
        <w:ind w:left="0" w:firstLine="709"/>
        <w:jc w:val="both"/>
        <w:rPr>
          <w:bCs/>
          <w:sz w:val="24"/>
          <w:szCs w:val="24"/>
        </w:rPr>
      </w:pPr>
      <w:r>
        <w:rPr>
          <w:bCs/>
          <w:sz w:val="24"/>
          <w:szCs w:val="24"/>
        </w:rPr>
        <w:t xml:space="preserve">Поставщик несет ответственность перед Покупателем за причиненные убытки </w:t>
        <w:br/>
        <w:t xml:space="preserve">в размере фактически понесенных и документально подтвержденных расходов, возникших </w:t>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pPr>
        <w:pStyle w:val="ListParagraph"/>
        <w:widowControl/>
        <w:numPr>
          <w:ilvl w:val="1"/>
          <w:numId w:val="2"/>
        </w:numPr>
        <w:tabs>
          <w:tab w:val="clear" w:pos="708"/>
          <w:tab w:val="left" w:pos="1276" w:leader="none"/>
          <w:tab w:val="left" w:pos="1418" w:leader="none"/>
        </w:tabs>
        <w:ind w:left="0" w:firstLine="709"/>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tabs>
          <w:tab w:val="clear" w:pos="708"/>
          <w:tab w:val="left" w:pos="1276" w:leader="none"/>
          <w:tab w:val="left" w:pos="1418" w:leader="none"/>
        </w:tabs>
        <w:ind w:lef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tabs>
          <w:tab w:val="clear" w:pos="708"/>
          <w:tab w:val="left" w:pos="1276" w:leader="none"/>
          <w:tab w:val="left" w:pos="1418" w:leader="none"/>
        </w:tabs>
        <w:ind w:left="0" w:firstLine="709"/>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tabs>
          <w:tab w:val="clear" w:pos="708"/>
          <w:tab w:val="left" w:pos="1276" w:leader="none"/>
          <w:tab w:val="left" w:pos="1418" w:leader="none"/>
        </w:tabs>
        <w:ind w:left="0" w:firstLine="709"/>
        <w:jc w:val="both"/>
        <w:rPr>
          <w:bCs/>
          <w:sz w:val="24"/>
          <w:szCs w:val="24"/>
        </w:rPr>
      </w:pPr>
      <w:r>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pPr>
        <w:pStyle w:val="Normal"/>
        <w:jc w:val="both"/>
        <w:rPr>
          <w:sz w:val="24"/>
          <w:szCs w:val="24"/>
        </w:rPr>
      </w:pPr>
      <w:r>
        <w:rPr>
          <w:sz w:val="24"/>
          <w:szCs w:val="24"/>
        </w:rPr>
      </w:r>
    </w:p>
    <w:p>
      <w:pPr>
        <w:pStyle w:val="ListParagraph"/>
        <w:widowControl/>
        <w:numPr>
          <w:ilvl w:val="0"/>
          <w:numId w:val="2"/>
        </w:numPr>
        <w:tabs>
          <w:tab w:val="clear" w:pos="708"/>
          <w:tab w:val="left" w:pos="0" w:leader="none"/>
          <w:tab w:val="left" w:pos="284" w:leader="none"/>
        </w:tabs>
        <w:ind w:left="0" w:hanging="0"/>
        <w:jc w:val="center"/>
        <w:rPr>
          <w:b/>
          <w:bCs/>
          <w:sz w:val="24"/>
          <w:szCs w:val="24"/>
        </w:rPr>
      </w:pPr>
      <w:r>
        <w:rPr>
          <w:b/>
          <w:bCs/>
          <w:sz w:val="24"/>
          <w:szCs w:val="24"/>
        </w:rPr>
        <w:t>Конфиденциальность</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5"/>
        </w:numPr>
        <w:tabs>
          <w:tab w:val="clear" w:pos="708"/>
          <w:tab w:val="left" w:pos="0" w:leader="none"/>
          <w:tab w:val="left" w:pos="709" w:leader="none"/>
          <w:tab w:val="left" w:pos="1418" w:leader="none"/>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5"/>
        </w:numPr>
        <w:tabs>
          <w:tab w:val="clear" w:pos="708"/>
          <w:tab w:val="left" w:pos="0" w:leader="none"/>
          <w:tab w:val="left" w:pos="709" w:leader="none"/>
          <w:tab w:val="left" w:pos="1418" w:leader="none"/>
        </w:tabs>
        <w:ind w:left="0" w:firstLine="709"/>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учетные регистры бухгалтерского учета;</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бизнес-планы;</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5"/>
        </w:numPr>
        <w:tabs>
          <w:tab w:val="clear" w:pos="708"/>
          <w:tab w:val="left" w:pos="0" w:leader="none"/>
          <w:tab w:val="left" w:pos="1418" w:leader="none"/>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bookmarkStart w:id="6"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2"/>
        </w:numPr>
        <w:tabs>
          <w:tab w:val="clear" w:pos="708"/>
          <w:tab w:val="left" w:pos="0" w:leader="none"/>
          <w:tab w:val="left" w:pos="1418" w:leader="none"/>
        </w:tabs>
        <w:ind w:left="0" w:firstLine="709"/>
        <w:jc w:val="both"/>
        <w:rPr>
          <w:bCs/>
          <w:sz w:val="24"/>
          <w:szCs w:val="24"/>
        </w:rPr>
      </w:pPr>
      <w:bookmarkStart w:id="7"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7"/>
    </w:p>
    <w:p>
      <w:pPr>
        <w:pStyle w:val="ListParagraph"/>
        <w:widowControl/>
        <w:numPr>
          <w:ilvl w:val="2"/>
          <w:numId w:val="2"/>
        </w:numPr>
        <w:tabs>
          <w:tab w:val="clear" w:pos="708"/>
          <w:tab w:val="left" w:pos="0" w:leader="none"/>
          <w:tab w:val="left" w:pos="1418" w:leader="none"/>
        </w:tabs>
        <w:ind w:left="0" w:firstLine="709"/>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2"/>
        </w:numPr>
        <w:tabs>
          <w:tab w:val="clear" w:pos="708"/>
          <w:tab w:val="left" w:pos="0" w:leader="none"/>
          <w:tab w:val="left" w:pos="1134" w:leader="none"/>
        </w:tabs>
        <w:ind w:left="0" w:firstLine="709"/>
        <w:jc w:val="both"/>
        <w:rPr>
          <w:bCs/>
          <w:sz w:val="24"/>
          <w:szCs w:val="24"/>
        </w:rPr>
      </w:pPr>
      <w:bookmarkStart w:id="8"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8"/>
    </w:p>
    <w:p>
      <w:pPr>
        <w:pStyle w:val="Normal"/>
        <w:numPr>
          <w:ilvl w:val="1"/>
          <w:numId w:val="2"/>
        </w:numPr>
        <w:tabs>
          <w:tab w:val="clear" w:pos="708"/>
          <w:tab w:val="left" w:pos="0" w:leader="none"/>
          <w:tab w:val="left" w:pos="1134" w:leader="none"/>
        </w:tabs>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Normal"/>
        <w:jc w:val="both"/>
        <w:rPr>
          <w:bCs/>
          <w:sz w:val="24"/>
          <w:szCs w:val="24"/>
        </w:rPr>
      </w:pPr>
      <w:r>
        <w:rPr>
          <w:bCs/>
          <w:sz w:val="24"/>
          <w:szCs w:val="24"/>
        </w:rPr>
      </w:r>
    </w:p>
    <w:p>
      <w:pPr>
        <w:pStyle w:val="ListParagraph"/>
        <w:widowControl/>
        <w:numPr>
          <w:ilvl w:val="0"/>
          <w:numId w:val="2"/>
        </w:numPr>
        <w:tabs>
          <w:tab w:val="clear" w:pos="708"/>
          <w:tab w:val="left" w:pos="426" w:leader="none"/>
        </w:tabs>
        <w:ind w:left="0" w:hanging="0"/>
        <w:jc w:val="center"/>
        <w:rPr>
          <w:b/>
          <w:bCs/>
          <w:sz w:val="24"/>
          <w:szCs w:val="24"/>
        </w:rPr>
      </w:pPr>
      <w:r>
        <w:rPr>
          <w:b/>
          <w:bCs/>
          <w:sz w:val="24"/>
          <w:szCs w:val="24"/>
        </w:rPr>
        <w:t>Разрешение споров</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Споры, указанные в пункте 7.1 Договора, которые не были урегулированы Сторонами путем переговоров, подлежат разрешению в Арбитражном суде Пермского края в соответствии с законодательством Российской Федерации.</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13.7 Договора.</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Normal"/>
        <w:jc w:val="both"/>
        <w:rPr>
          <w:sz w:val="24"/>
          <w:szCs w:val="24"/>
        </w:rPr>
      </w:pPr>
      <w:r>
        <w:rPr>
          <w:sz w:val="24"/>
          <w:szCs w:val="24"/>
        </w:rPr>
      </w:r>
    </w:p>
    <w:p>
      <w:pPr>
        <w:pStyle w:val="ListParagraph"/>
        <w:widowControl/>
        <w:numPr>
          <w:ilvl w:val="0"/>
          <w:numId w:val="2"/>
        </w:numPr>
        <w:tabs>
          <w:tab w:val="clear" w:pos="708"/>
          <w:tab w:val="left" w:pos="426" w:leader="none"/>
        </w:tabs>
        <w:ind w:left="0" w:hanging="0"/>
        <w:jc w:val="center"/>
        <w:rPr>
          <w:b/>
          <w:bCs/>
          <w:sz w:val="24"/>
          <w:szCs w:val="24"/>
        </w:rPr>
      </w:pPr>
      <w:r>
        <w:rPr>
          <w:b/>
          <w:bCs/>
          <w:sz w:val="24"/>
          <w:szCs w:val="24"/>
        </w:rPr>
        <w:t>Антикоррупционная оговорка</w:t>
      </w:r>
    </w:p>
    <w:p>
      <w:pPr>
        <w:pStyle w:val="ListParagraph"/>
        <w:numPr>
          <w:ilvl w:val="1"/>
          <w:numId w:val="2"/>
        </w:numPr>
        <w:tabs>
          <w:tab w:val="clear" w:pos="708"/>
          <w:tab w:val="left" w:pos="1134" w:leader="none"/>
        </w:tabs>
        <w:ind w:left="0" w:firstLine="709"/>
        <w:jc w:val="both"/>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tabs>
          <w:tab w:val="clear" w:pos="708"/>
          <w:tab w:val="left" w:pos="1134" w:leader="none"/>
        </w:tabs>
        <w:ind w:firstLine="709"/>
        <w:jc w:val="both"/>
        <w:rPr>
          <w:bCs/>
          <w:color w:val="000000"/>
          <w:sz w:val="24"/>
          <w:szCs w:val="24"/>
        </w:rPr>
      </w:pPr>
      <w:r>
        <w:rPr>
          <w:bCs/>
          <w:color w:val="000000"/>
          <w:sz w:val="24"/>
          <w:szCs w:val="24"/>
        </w:rPr>
        <w:t>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tabs>
          <w:tab w:val="clear" w:pos="708"/>
          <w:tab w:val="left" w:pos="1134" w:leader="none"/>
        </w:tabs>
        <w:ind w:firstLine="709"/>
        <w:jc w:val="both"/>
        <w:rPr>
          <w:bCs/>
          <w:color w:val="000000"/>
          <w:sz w:val="24"/>
          <w:szCs w:val="24"/>
        </w:rPr>
      </w:pPr>
      <w:r>
        <w:rPr>
          <w:bCs/>
          <w:color w:val="000000"/>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tabs>
          <w:tab w:val="clear" w:pos="708"/>
          <w:tab w:val="left" w:pos="1134" w:leader="none"/>
        </w:tabs>
        <w:ind w:firstLine="709"/>
        <w:jc w:val="both"/>
        <w:rPr>
          <w:bCs/>
          <w:color w:val="000000"/>
          <w:sz w:val="24"/>
          <w:szCs w:val="24"/>
        </w:rPr>
      </w:pPr>
      <w:r>
        <w:rPr>
          <w:bCs/>
          <w:color w:val="000000"/>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tabs>
          <w:tab w:val="clear" w:pos="708"/>
          <w:tab w:val="left" w:pos="1134" w:leader="none"/>
        </w:tabs>
        <w:ind w:firstLine="709"/>
        <w:jc w:val="both"/>
        <w:rPr>
          <w:bCs/>
          <w:color w:val="000000"/>
          <w:sz w:val="24"/>
          <w:szCs w:val="24"/>
        </w:rPr>
      </w:pPr>
      <w:r>
        <w:rPr>
          <w:bCs/>
          <w:color w:val="000000"/>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tabs>
          <w:tab w:val="clear" w:pos="708"/>
          <w:tab w:val="left" w:pos="1134" w:leader="none"/>
        </w:tabs>
        <w:ind w:firstLine="709"/>
        <w:jc w:val="both"/>
        <w:rPr>
          <w:bCs/>
          <w:color w:val="000000"/>
          <w:sz w:val="24"/>
          <w:szCs w:val="24"/>
        </w:rPr>
      </w:pPr>
      <w:r>
        <w:rPr>
          <w:bCs/>
          <w:color w:val="000000"/>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tabs>
          <w:tab w:val="clear" w:pos="708"/>
          <w:tab w:val="left" w:pos="567" w:leader="none"/>
          <w:tab w:val="left" w:pos="1134" w:leader="none"/>
        </w:tabs>
        <w:ind w:firstLine="709"/>
        <w:jc w:val="both"/>
        <w:rPr>
          <w:color w:val="000000"/>
          <w:sz w:val="24"/>
          <w:szCs w:val="24"/>
        </w:rPr>
      </w:pPr>
      <w:r>
        <w:rPr>
          <w:color w:val="000000"/>
          <w:sz w:val="24"/>
          <w:szCs w:val="24"/>
        </w:rPr>
        <w:t xml:space="preserve">8.7.  Каналы связи Линия доверия Группы РусГидро: </w:t>
      </w:r>
    </w:p>
    <w:p>
      <w:pPr>
        <w:pStyle w:val="Normal"/>
        <w:tabs>
          <w:tab w:val="clear" w:pos="708"/>
          <w:tab w:val="left" w:pos="567" w:leader="none"/>
          <w:tab w:val="left" w:pos="1134" w:leader="none"/>
        </w:tabs>
        <w:ind w:firstLine="709"/>
        <w:jc w:val="both"/>
        <w:rPr>
          <w:sz w:val="24"/>
          <w:szCs w:val="24"/>
        </w:rPr>
      </w:pPr>
      <w:r>
        <w:rPr>
          <w:sz w:val="24"/>
          <w:szCs w:val="24"/>
        </w:rPr>
        <w:t>8.7.1. Электронная почта: ld@rushydro.ru.</w:t>
      </w:r>
    </w:p>
    <w:p>
      <w:pPr>
        <w:pStyle w:val="Normal"/>
        <w:tabs>
          <w:tab w:val="clear" w:pos="708"/>
          <w:tab w:val="left" w:pos="567" w:leader="none"/>
          <w:tab w:val="left" w:pos="1134" w:leader="none"/>
        </w:tabs>
        <w:ind w:firstLine="709"/>
        <w:jc w:val="both"/>
        <w:rPr>
          <w:sz w:val="24"/>
          <w:szCs w:val="24"/>
        </w:rPr>
      </w:pPr>
      <w:r>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sz w:val="24"/>
          <w:szCs w:val="24"/>
        </w:rPr>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tabs>
          <w:tab w:val="clear" w:pos="708"/>
          <w:tab w:val="left" w:pos="0" w:leader="none"/>
          <w:tab w:val="left" w:pos="284" w:leader="none"/>
          <w:tab w:val="left" w:pos="567" w:leader="none"/>
        </w:tabs>
        <w:ind w:left="0" w:firstLine="709"/>
        <w:jc w:val="both"/>
        <w:rPr>
          <w:b/>
          <w:bCs/>
          <w:sz w:val="24"/>
          <w:szCs w:val="24"/>
        </w:rPr>
      </w:pPr>
      <w:r>
        <w:rPr>
          <w:b/>
          <w:bCs/>
          <w:sz w:val="24"/>
          <w:szCs w:val="24"/>
        </w:rPr>
      </w:r>
    </w:p>
    <w:p>
      <w:pPr>
        <w:pStyle w:val="ListParagraph"/>
        <w:widowControl/>
        <w:numPr>
          <w:ilvl w:val="0"/>
          <w:numId w:val="2"/>
        </w:numPr>
        <w:tabs>
          <w:tab w:val="clear" w:pos="708"/>
          <w:tab w:val="left" w:pos="426" w:leader="none"/>
        </w:tabs>
        <w:ind w:left="0" w:hanging="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jc w:val="both"/>
        <w:rPr>
          <w:sz w:val="24"/>
          <w:szCs w:val="24"/>
        </w:rPr>
      </w:pPr>
      <w:r>
        <w:rPr>
          <w:sz w:val="24"/>
          <w:szCs w:val="24"/>
        </w:rPr>
      </w:r>
    </w:p>
    <w:p>
      <w:pPr>
        <w:pStyle w:val="Normal"/>
        <w:widowControl/>
        <w:numPr>
          <w:ilvl w:val="0"/>
          <w:numId w:val="2"/>
        </w:numPr>
        <w:tabs>
          <w:tab w:val="clear" w:pos="708"/>
          <w:tab w:val="left" w:pos="426" w:leader="none"/>
        </w:tabs>
        <w:spacing w:before="0" w:after="0"/>
        <w:ind w:left="0" w:hanging="0"/>
        <w:contextualSpacing/>
        <w:jc w:val="center"/>
        <w:rPr>
          <w:b/>
          <w:bCs/>
          <w:sz w:val="24"/>
          <w:szCs w:val="24"/>
        </w:rPr>
      </w:pPr>
      <w:r>
        <w:rPr>
          <w:b/>
          <w:bCs/>
          <w:sz w:val="24"/>
          <w:szCs w:val="24"/>
        </w:rPr>
        <w:t>Особые положения</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sz w:val="24"/>
            <w:szCs w:val="24"/>
          </w:rPr>
          <w:t>№ 18162/09</w:t>
        </w:r>
      </w:hyperlink>
      <w:r>
        <w:rPr>
          <w:bCs/>
          <w:sz w:val="24"/>
          <w:szCs w:val="24"/>
        </w:rPr>
        <w:t xml:space="preserve"> и от 25.05.2010 </w:t>
      </w:r>
      <w:hyperlink r:id="rId3">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4">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tabs>
          <w:tab w:val="clear" w:pos="708"/>
          <w:tab w:val="left" w:pos="0" w:leader="none"/>
          <w:tab w:val="left" w:pos="568" w:leader="none"/>
          <w:tab w:val="left" w:pos="1418" w:leader="none"/>
        </w:tabs>
        <w:ind w:left="0" w:firstLine="709"/>
        <w:jc w:val="both"/>
        <w:rPr>
          <w:bCs/>
          <w:sz w:val="24"/>
          <w:szCs w:val="24"/>
        </w:rPr>
      </w:pPr>
      <w:r>
        <w:rPr>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Normal"/>
        <w:tabs>
          <w:tab w:val="clear" w:pos="708"/>
          <w:tab w:val="left" w:pos="1134" w:leader="none"/>
        </w:tabs>
        <w:ind w:firstLine="709"/>
        <w:jc w:val="both"/>
        <w:rPr>
          <w:bCs/>
          <w:sz w:val="24"/>
          <w:szCs w:val="24"/>
        </w:rPr>
      </w:pPr>
      <w:r>
        <w:rPr>
          <w:bCs/>
          <w:sz w:val="24"/>
          <w:szCs w:val="24"/>
        </w:rPr>
      </w:r>
    </w:p>
    <w:p>
      <w:pPr>
        <w:pStyle w:val="ListParagraph"/>
        <w:widowControl/>
        <w:numPr>
          <w:ilvl w:val="0"/>
          <w:numId w:val="2"/>
        </w:numPr>
        <w:tabs>
          <w:tab w:val="clear" w:pos="708"/>
          <w:tab w:val="left" w:pos="426" w:leader="none"/>
          <w:tab w:val="left" w:pos="567" w:leader="none"/>
        </w:tabs>
        <w:ind w:left="0" w:hanging="0"/>
        <w:jc w:val="center"/>
        <w:rPr>
          <w:b/>
          <w:sz w:val="24"/>
          <w:szCs w:val="24"/>
        </w:rPr>
      </w:pPr>
      <w:r>
        <w:rPr>
          <w:b/>
          <w:bCs/>
          <w:sz w:val="24"/>
          <w:szCs w:val="24"/>
        </w:rPr>
        <w:t>Заверения</w:t>
      </w:r>
      <w:r>
        <w:rPr>
          <w:b/>
          <w:sz w:val="24"/>
          <w:szCs w:val="24"/>
        </w:rPr>
        <w:t xml:space="preserve"> Сторон</w:t>
      </w:r>
    </w:p>
    <w:p>
      <w:pPr>
        <w:pStyle w:val="ListParagraph"/>
        <w:widowControl/>
        <w:numPr>
          <w:ilvl w:val="1"/>
          <w:numId w:val="2"/>
        </w:numPr>
        <w:tabs>
          <w:tab w:val="clear" w:pos="708"/>
          <w:tab w:val="left" w:pos="0" w:leader="none"/>
          <w:tab w:val="left" w:pos="1134" w:leader="none"/>
          <w:tab w:val="left" w:pos="1418" w:leader="none"/>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7"/>
        </w:numPr>
        <w:tabs>
          <w:tab w:val="clear" w:pos="708"/>
          <w:tab w:val="left" w:pos="0" w:leader="none"/>
          <w:tab w:val="left" w:pos="709" w:leader="none"/>
          <w:tab w:val="left" w:pos="1418" w:leader="none"/>
        </w:tabs>
        <w:ind w:lef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7"/>
        </w:numPr>
        <w:tabs>
          <w:tab w:val="clear" w:pos="708"/>
          <w:tab w:val="left" w:pos="0" w:leader="none"/>
          <w:tab w:val="left" w:pos="709" w:leader="none"/>
          <w:tab w:val="left" w:pos="1418" w:leader="none"/>
        </w:tabs>
        <w:ind w:lef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7"/>
        </w:numPr>
        <w:tabs>
          <w:tab w:val="clear" w:pos="708"/>
          <w:tab w:val="left" w:pos="0" w:leader="none"/>
          <w:tab w:val="left" w:pos="709" w:leader="none"/>
          <w:tab w:val="left" w:pos="1418" w:leader="none"/>
        </w:tabs>
        <w:ind w:lef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7"/>
        </w:numPr>
        <w:tabs>
          <w:tab w:val="clear" w:pos="708"/>
          <w:tab w:val="left" w:pos="0" w:leader="none"/>
          <w:tab w:val="left" w:pos="709" w:leader="none"/>
          <w:tab w:val="left" w:pos="1418" w:leader="none"/>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7"/>
        </w:numPr>
        <w:tabs>
          <w:tab w:val="clear" w:pos="708"/>
          <w:tab w:val="left" w:pos="0" w:leader="none"/>
          <w:tab w:val="left" w:pos="709" w:leader="none"/>
          <w:tab w:val="left" w:pos="1418" w:leader="none"/>
        </w:tabs>
        <w:ind w:lef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9"/>
        </w:numPr>
        <w:tabs>
          <w:tab w:val="clear" w:pos="708"/>
          <w:tab w:val="left" w:pos="0" w:leader="none"/>
          <w:tab w:val="left" w:pos="709" w:leader="none"/>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9"/>
        </w:numPr>
        <w:tabs>
          <w:tab w:val="clear" w:pos="708"/>
          <w:tab w:val="left" w:pos="0" w:leader="none"/>
          <w:tab w:val="left" w:pos="709" w:leader="none"/>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9"/>
        </w:numPr>
        <w:tabs>
          <w:tab w:val="clear" w:pos="708"/>
          <w:tab w:val="left" w:pos="0" w:leader="none"/>
          <w:tab w:val="left" w:pos="709" w:leader="none"/>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9"/>
        </w:numPr>
        <w:tabs>
          <w:tab w:val="clear" w:pos="708"/>
          <w:tab w:val="left" w:pos="0" w:leader="none"/>
          <w:tab w:val="left" w:pos="709" w:leader="none"/>
        </w:tabs>
        <w:ind w:lef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8"/>
        </w:numPr>
        <w:tabs>
          <w:tab w:val="clear" w:pos="708"/>
          <w:tab w:val="left" w:pos="0" w:leader="none"/>
          <w:tab w:val="left" w:pos="567" w:leader="none"/>
        </w:tabs>
        <w:ind w:lef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pPr>
        <w:pStyle w:val="ListParagraph"/>
        <w:widowControl/>
        <w:numPr>
          <w:ilvl w:val="0"/>
          <w:numId w:val="8"/>
        </w:numPr>
        <w:tabs>
          <w:tab w:val="clear" w:pos="708"/>
          <w:tab w:val="left" w:pos="0" w:leader="none"/>
          <w:tab w:val="left" w:pos="567" w:leader="none"/>
        </w:tabs>
        <w:ind w:left="0" w:firstLine="709"/>
        <w:jc w:val="both"/>
        <w:rPr>
          <w:sz w:val="24"/>
          <w:szCs w:val="24"/>
        </w:rPr>
      </w:pPr>
      <w:r>
        <w:rPr>
          <w:sz w:val="24"/>
          <w:szCs w:val="24"/>
        </w:rPr>
        <w:t xml:space="preserve">Поставщик тщательно изучил всю информацию, связанную с Договором, </w:t>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8"/>
        </w:numPr>
        <w:tabs>
          <w:tab w:val="clear" w:pos="708"/>
          <w:tab w:val="left" w:pos="0" w:leader="none"/>
          <w:tab w:val="left" w:pos="567" w:leader="none"/>
        </w:tabs>
        <w:ind w:lef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8"/>
        </w:numPr>
        <w:tabs>
          <w:tab w:val="clear" w:pos="708"/>
          <w:tab w:val="left" w:pos="0" w:leader="none"/>
          <w:tab w:val="left" w:pos="567" w:leader="none"/>
        </w:tabs>
        <w:ind w:left="0" w:firstLine="709"/>
        <w:jc w:val="both"/>
        <w:rPr>
          <w:sz w:val="24"/>
          <w:szCs w:val="24"/>
        </w:rPr>
      </w:pPr>
      <w:r>
        <w:rPr>
          <w:sz w:val="24"/>
          <w:szCs w:val="24"/>
        </w:rPr>
        <w:t xml:space="preserve">вся информация, предоставленная Покупателю, является достоверной, полной </w:t>
        <w:br/>
        <w:t xml:space="preserve">и точной, и Поставщик не скрыл никаких обстоятельств, которые при их обнаружении могли </w:t>
        <w:br/>
        <w:t>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w:t>
        <w:br/>
        <w:t>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tabs>
          <w:tab w:val="clear" w:pos="708"/>
          <w:tab w:val="left" w:pos="1134" w:leader="none"/>
          <w:tab w:val="left" w:pos="1418" w:leader="none"/>
        </w:tabs>
        <w:ind w:left="0" w:hanging="0"/>
        <w:jc w:val="both"/>
        <w:rPr>
          <w:sz w:val="24"/>
          <w:szCs w:val="24"/>
        </w:rPr>
      </w:pPr>
      <w:r>
        <w:rPr>
          <w:sz w:val="24"/>
          <w:szCs w:val="24"/>
        </w:rPr>
      </w:r>
    </w:p>
    <w:p>
      <w:pPr>
        <w:pStyle w:val="ListParagraph"/>
        <w:widowControl/>
        <w:numPr>
          <w:ilvl w:val="0"/>
          <w:numId w:val="2"/>
        </w:numPr>
        <w:tabs>
          <w:tab w:val="clear" w:pos="708"/>
          <w:tab w:val="left" w:pos="426" w:leader="none"/>
        </w:tabs>
        <w:ind w:left="0" w:hanging="0"/>
        <w:jc w:val="center"/>
        <w:rPr>
          <w:b/>
          <w:sz w:val="24"/>
          <w:szCs w:val="24"/>
        </w:rPr>
      </w:pPr>
      <w:r>
        <w:rPr>
          <w:b/>
          <w:bCs/>
          <w:sz w:val="24"/>
          <w:szCs w:val="24"/>
        </w:rPr>
        <w:t>П</w:t>
      </w:r>
      <w:r>
        <w:rPr>
          <w:b/>
          <w:sz w:val="24"/>
          <w:szCs w:val="24"/>
        </w:rPr>
        <w:t>рекращение (расторжение) Договора</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tabs>
          <w:tab w:val="clear" w:pos="708"/>
          <w:tab w:val="left" w:pos="0" w:leader="none"/>
          <w:tab w:val="left" w:pos="1418" w:leader="none"/>
        </w:tabs>
        <w:ind w:left="0" w:firstLine="709"/>
        <w:jc w:val="both"/>
        <w:rPr>
          <w:sz w:val="24"/>
          <w:szCs w:val="24"/>
        </w:rPr>
      </w:pPr>
      <w:r>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Стороны установили, что существенным нарушением Договора Поставщиком является:</w:t>
      </w:r>
    </w:p>
    <w:p>
      <w:pPr>
        <w:pStyle w:val="ListParagraph"/>
        <w:widowControl/>
        <w:numPr>
          <w:ilvl w:val="0"/>
          <w:numId w:val="6"/>
        </w:numPr>
        <w:tabs>
          <w:tab w:val="clear" w:pos="708"/>
          <w:tab w:val="left" w:pos="0" w:leader="none"/>
          <w:tab w:val="left" w:pos="1418" w:leader="none"/>
        </w:tabs>
        <w:ind w:left="0" w:firstLine="709"/>
        <w:jc w:val="both"/>
        <w:rPr>
          <w:sz w:val="24"/>
          <w:szCs w:val="24"/>
        </w:rPr>
      </w:pPr>
      <w:r>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6"/>
        </w:numPr>
        <w:tabs>
          <w:tab w:val="clear" w:pos="708"/>
          <w:tab w:val="left" w:pos="0" w:leader="none"/>
          <w:tab w:val="left" w:pos="1418" w:leader="none"/>
        </w:tabs>
        <w:ind w:left="0" w:firstLine="709"/>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6"/>
        </w:numPr>
        <w:tabs>
          <w:tab w:val="clear" w:pos="708"/>
          <w:tab w:val="left" w:pos="0" w:leader="none"/>
          <w:tab w:val="left" w:pos="1418" w:leader="none"/>
        </w:tabs>
        <w:ind w:left="0" w:firstLine="709"/>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6"/>
        </w:numPr>
        <w:tabs>
          <w:tab w:val="clear" w:pos="708"/>
          <w:tab w:val="left" w:pos="0" w:leader="none"/>
          <w:tab w:val="left" w:pos="1418" w:leader="none"/>
        </w:tabs>
        <w:ind w:left="0" w:firstLine="709"/>
        <w:jc w:val="both"/>
        <w:rPr>
          <w:sz w:val="24"/>
          <w:szCs w:val="24"/>
        </w:rPr>
      </w:pPr>
      <w:r>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pPr>
        <w:pStyle w:val="ListParagraph"/>
        <w:widowControl/>
        <w:numPr>
          <w:ilvl w:val="0"/>
          <w:numId w:val="6"/>
        </w:numPr>
        <w:tabs>
          <w:tab w:val="clear" w:pos="708"/>
          <w:tab w:val="left" w:pos="0" w:leader="none"/>
          <w:tab w:val="left" w:pos="1418" w:leader="none"/>
        </w:tabs>
        <w:ind w:left="0" w:firstLine="709"/>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br/>
        <w:t>об обстоятельствах, указанных в разделе 11 Договора, и имеющих существенное значение для его заключения и исполнения.</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tabs>
          <w:tab w:val="clear" w:pos="708"/>
          <w:tab w:val="left" w:pos="1134" w:leader="none"/>
        </w:tabs>
        <w:ind w:left="0" w:hanging="0"/>
        <w:jc w:val="both"/>
        <w:rPr>
          <w:sz w:val="24"/>
          <w:szCs w:val="24"/>
        </w:rPr>
      </w:pPr>
      <w:r>
        <w:rPr>
          <w:sz w:val="24"/>
          <w:szCs w:val="24"/>
        </w:rPr>
      </w:r>
    </w:p>
    <w:p>
      <w:pPr>
        <w:pStyle w:val="ListParagraph"/>
        <w:widowControl/>
        <w:numPr>
          <w:ilvl w:val="0"/>
          <w:numId w:val="2"/>
        </w:numPr>
        <w:tabs>
          <w:tab w:val="clear" w:pos="708"/>
          <w:tab w:val="left" w:pos="426" w:leader="none"/>
        </w:tabs>
        <w:ind w:left="0" w:hanging="0"/>
        <w:jc w:val="center"/>
        <w:rPr>
          <w:b/>
          <w:bCs/>
          <w:sz w:val="24"/>
          <w:szCs w:val="24"/>
        </w:rPr>
      </w:pPr>
      <w:r>
        <w:rPr>
          <w:b/>
          <w:bCs/>
          <w:sz w:val="24"/>
          <w:szCs w:val="24"/>
        </w:rPr>
        <w:t>Заключительные положения</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w:t>
      </w:r>
    </w:p>
    <w:p>
      <w:pPr>
        <w:pStyle w:val="Normal"/>
        <w:widowControl/>
        <w:numPr>
          <w:ilvl w:val="1"/>
          <w:numId w:val="2"/>
        </w:numPr>
        <w:tabs>
          <w:tab w:val="clear" w:pos="708"/>
          <w:tab w:val="left" w:pos="142" w:leader="none"/>
          <w:tab w:val="left" w:pos="1418" w:leader="none"/>
        </w:tabs>
        <w:snapToGrid w:val="false"/>
        <w:ind w:left="0" w:firstLine="709"/>
        <w:jc w:val="both"/>
        <w:rPr>
          <w:sz w:val="24"/>
          <w:szCs w:val="24"/>
          <w:highlight w:val="lightGray"/>
          <w:lang w:eastAsia="en-US"/>
        </w:rPr>
      </w:pPr>
      <w:r>
        <w:rPr>
          <w:sz w:val="24"/>
          <w:szCs w:val="24"/>
          <w:highlight w:val="lightGray"/>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tabs>
          <w:tab w:val="clear" w:pos="708"/>
          <w:tab w:val="left" w:pos="142" w:leader="none"/>
        </w:tabs>
        <w:ind w:firstLine="709"/>
        <w:jc w:val="both"/>
        <w:rPr>
          <w:sz w:val="24"/>
          <w:szCs w:val="24"/>
          <w:lang w:eastAsia="en-US"/>
        </w:rPr>
      </w:pPr>
      <w:r>
        <w:rPr>
          <w:sz w:val="24"/>
          <w:szCs w:val="24"/>
          <w:highlight w:val="lightGray"/>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FootnoteReference"/>
          <w:sz w:val="24"/>
          <w:szCs w:val="24"/>
          <w:highlight w:val="lightGray"/>
          <w:lang w:eastAsia="en-US"/>
        </w:rPr>
        <w:footnoteReference w:id="3"/>
      </w:r>
      <w:r>
        <w:rPr>
          <w:sz w:val="24"/>
          <w:szCs w:val="24"/>
          <w:highlight w:val="lightGray"/>
          <w:lang w:eastAsia="en-US"/>
        </w:rPr>
        <w:t>.</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13.7 Договора. </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2"/>
        </w:numPr>
        <w:tabs>
          <w:tab w:val="clear" w:pos="708"/>
          <w:tab w:val="left" w:pos="0" w:leader="none"/>
          <w:tab w:val="left" w:pos="1418" w:leader="none"/>
        </w:tabs>
        <w:ind w:left="0" w:firstLine="709"/>
        <w:jc w:val="both"/>
        <w:rPr>
          <w:sz w:val="24"/>
          <w:szCs w:val="24"/>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13.8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2"/>
        </w:numPr>
        <w:tabs>
          <w:tab w:val="clear" w:pos="708"/>
          <w:tab w:val="left" w:pos="0" w:leader="none"/>
          <w:tab w:val="left" w:pos="1418" w:leader="none"/>
        </w:tabs>
        <w:ind w:left="0" w:firstLine="709"/>
        <w:jc w:val="both"/>
        <w:rPr>
          <w:sz w:val="24"/>
          <w:szCs w:val="24"/>
        </w:rPr>
      </w:pPr>
      <w:bookmarkStart w:id="9" w:name="_Ref361338004"/>
      <w:r>
        <w:rPr>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w:t>
      </w:r>
      <w:bookmarkEnd w:id="9"/>
      <w:r>
        <w:rPr>
          <w:sz w:val="24"/>
          <w:szCs w:val="24"/>
        </w:rPr>
        <w:t xml:space="preserve"> </w:t>
      </w:r>
    </w:p>
    <w:p>
      <w:pPr>
        <w:pStyle w:val="ListParagraph"/>
        <w:widowControl/>
        <w:numPr>
          <w:ilvl w:val="1"/>
          <w:numId w:val="2"/>
        </w:numPr>
        <w:tabs>
          <w:tab w:val="clear" w:pos="708"/>
          <w:tab w:val="left" w:pos="0" w:leader="none"/>
          <w:tab w:val="left" w:pos="1134" w:leader="none"/>
          <w:tab w:val="left" w:pos="1418" w:leader="none"/>
        </w:tabs>
        <w:ind w:left="0" w:firstLine="709"/>
        <w:jc w:val="both"/>
        <w:rPr>
          <w:bCs/>
          <w:sz w:val="24"/>
          <w:szCs w:val="24"/>
        </w:rPr>
      </w:pPr>
      <w:r>
        <w:rPr>
          <w:sz w:val="24"/>
          <w:szCs w:val="24"/>
        </w:rPr>
        <w:t>Письма, уведомления и / или сообщения направляются Стороне</w:t>
      </w:r>
      <w:r>
        <w:rPr>
          <w:bCs/>
          <w:sz w:val="24"/>
          <w:szCs w:val="24"/>
        </w:rPr>
        <w:t>-</w:t>
      </w:r>
      <w:r>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r>
        <w:rPr>
          <w:sz w:val="24"/>
          <w:szCs w:val="24"/>
        </w:rPr>
        <w:t xml:space="preserve">: </w:t>
      </w:r>
    </w:p>
    <w:p>
      <w:pPr>
        <w:pStyle w:val="ListParagraph"/>
        <w:numPr>
          <w:ilvl w:val="2"/>
          <w:numId w:val="2"/>
        </w:numPr>
        <w:ind w:left="0" w:firstLine="709"/>
        <w:jc w:val="both"/>
        <w:rPr>
          <w:sz w:val="24"/>
          <w:szCs w:val="24"/>
        </w:rPr>
      </w:pPr>
      <w:r>
        <w:rPr>
          <w:bCs/>
          <w:sz w:val="24"/>
          <w:szCs w:val="24"/>
        </w:rPr>
        <w:t xml:space="preserve">Заказным почтовым отправлением с уведомлением о вручении – </w:t>
      </w:r>
      <w:r>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2"/>
        </w:numPr>
        <w:ind w:left="0" w:firstLine="709"/>
        <w:jc w:val="both"/>
        <w:rPr>
          <w:sz w:val="24"/>
          <w:szCs w:val="24"/>
        </w:rPr>
      </w:pPr>
      <w:r>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z w:val="24"/>
          <w:szCs w:val="24"/>
        </w:rPr>
        <w:t xml:space="preserve">; </w:t>
      </w:r>
    </w:p>
    <w:p>
      <w:pPr>
        <w:pStyle w:val="ListParagraph"/>
        <w:numPr>
          <w:ilvl w:val="2"/>
          <w:numId w:val="2"/>
        </w:numPr>
        <w:ind w:left="0" w:firstLine="709"/>
        <w:jc w:val="both"/>
        <w:rPr>
          <w:bCs/>
          <w:sz w:val="24"/>
          <w:szCs w:val="24"/>
        </w:rPr>
      </w:pPr>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сообщения, зафиксированную на почтовом сервере отправителя.</w:t>
      </w:r>
    </w:p>
    <w:p>
      <w:pPr>
        <w:pStyle w:val="ListParagraph"/>
        <w:tabs>
          <w:tab w:val="clear" w:pos="708"/>
          <w:tab w:val="left" w:pos="0" w:leader="none"/>
          <w:tab w:val="left" w:pos="1418" w:leader="none"/>
          <w:tab w:val="left" w:pos="1701" w:leader="none"/>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pPr>
        <w:pStyle w:val="Normal"/>
        <w:widowControl/>
        <w:numPr>
          <w:ilvl w:val="1"/>
          <w:numId w:val="2"/>
        </w:numPr>
        <w:tabs>
          <w:tab w:val="clear" w:pos="708"/>
          <w:tab w:val="left" w:pos="0" w:leader="none"/>
          <w:tab w:val="left" w:pos="1418" w:leader="none"/>
        </w:tabs>
        <w:ind w:left="0" w:firstLine="709"/>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
        </w:numPr>
        <w:tabs>
          <w:tab w:val="clear" w:pos="708"/>
          <w:tab w:val="left" w:pos="1440" w:leader="none"/>
        </w:tabs>
        <w:ind w:left="540" w:firstLine="180"/>
        <w:jc w:val="both"/>
        <w:rPr>
          <w:sz w:val="24"/>
          <w:szCs w:val="24"/>
        </w:rPr>
      </w:pPr>
      <w:r>
        <w:rPr>
          <w:bCs/>
          <w:sz w:val="24"/>
          <w:szCs w:val="24"/>
        </w:rPr>
        <w:t>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r>
        <w:rPr>
          <w:sz w:val="24"/>
          <w:szCs w:val="24"/>
        </w:rPr>
        <w:t xml:space="preserve">  </w:t>
      </w:r>
    </w:p>
    <w:p>
      <w:pPr>
        <w:pStyle w:val="ListParagraph"/>
        <w:numPr>
          <w:ilvl w:val="1"/>
          <w:numId w:val="2"/>
        </w:numPr>
        <w:ind w:left="0" w:firstLine="709"/>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widowControl/>
        <w:numPr>
          <w:ilvl w:val="1"/>
          <w:numId w:val="2"/>
        </w:numPr>
        <w:shd w:val="clear" w:color="auto" w:fill="FFFFFF"/>
        <w:tabs>
          <w:tab w:val="clear" w:pos="708"/>
          <w:tab w:val="left" w:pos="0" w:leader="none"/>
          <w:tab w:val="left" w:pos="1418" w:leader="none"/>
          <w:tab w:val="left" w:pos="1851" w:leader="none"/>
        </w:tabs>
        <w:ind w:left="0" w:firstLine="709"/>
        <w:jc w:val="both"/>
        <w:rPr>
          <w:sz w:val="24"/>
          <w:szCs w:val="24"/>
          <w:highlight w:val="lightGray"/>
        </w:rPr>
      </w:pPr>
      <w:r>
        <w:rPr>
          <w:sz w:val="24"/>
          <w:szCs w:val="24"/>
          <w:highlight w:val="lightGray"/>
        </w:rPr>
        <w:t>Договор составлен в 2 (двух) оригинальных экземплярах, имеющих равную юридическую силу, по 1 (одному) для каждой из Сторон</w:t>
      </w:r>
      <w:r>
        <w:rPr>
          <w:rStyle w:val="FootnoteReference"/>
          <w:sz w:val="24"/>
          <w:szCs w:val="24"/>
          <w:highlight w:val="lightGray"/>
        </w:rPr>
        <w:footnoteReference w:id="4"/>
      </w:r>
      <w:r>
        <w:rPr>
          <w:sz w:val="24"/>
          <w:szCs w:val="24"/>
          <w:highlight w:val="lightGray"/>
        </w:rPr>
        <w:t>.</w:t>
      </w:r>
    </w:p>
    <w:p>
      <w:pPr>
        <w:pStyle w:val="ListParagraph"/>
        <w:ind w:left="709" w:hanging="0"/>
        <w:jc w:val="both"/>
        <w:rPr>
          <w:sz w:val="24"/>
          <w:szCs w:val="24"/>
        </w:rPr>
      </w:pPr>
      <w:r>
        <w:rPr>
          <w:sz w:val="24"/>
          <w:szCs w:val="24"/>
        </w:rPr>
      </w:r>
    </w:p>
    <w:p>
      <w:pPr>
        <w:pStyle w:val="Normal"/>
        <w:ind w:firstLine="567"/>
        <w:jc w:val="both"/>
        <w:rPr>
          <w:sz w:val="24"/>
          <w:szCs w:val="24"/>
        </w:rPr>
      </w:pPr>
      <w:r>
        <w:rPr>
          <w:sz w:val="24"/>
          <w:szCs w:val="24"/>
        </w:rPr>
      </w:r>
    </w:p>
    <w:p>
      <w:pPr>
        <w:pStyle w:val="Normal"/>
        <w:widowControl/>
        <w:numPr>
          <w:ilvl w:val="0"/>
          <w:numId w:val="2"/>
        </w:numPr>
        <w:tabs>
          <w:tab w:val="clear" w:pos="708"/>
          <w:tab w:val="left" w:pos="284" w:leader="none"/>
        </w:tabs>
        <w:spacing w:before="0" w:after="0"/>
        <w:ind w:left="0" w:hanging="360"/>
        <w:contextualSpacing/>
        <w:jc w:val="center"/>
        <w:rPr>
          <w:b/>
          <w:bCs/>
          <w:sz w:val="24"/>
          <w:szCs w:val="24"/>
        </w:rPr>
      </w:pPr>
      <w:r>
        <w:rPr>
          <w:b/>
          <w:bCs/>
          <w:sz w:val="24"/>
          <w:szCs w:val="24"/>
        </w:rPr>
        <w:t xml:space="preserve">Список приложений </w:t>
      </w:r>
    </w:p>
    <w:p>
      <w:pPr>
        <w:pStyle w:val="Normal"/>
        <w:widowControl/>
        <w:tabs>
          <w:tab w:val="clear" w:pos="708"/>
          <w:tab w:val="left" w:pos="0" w:leader="none"/>
        </w:tabs>
        <w:ind w:firstLine="709"/>
        <w:jc w:val="both"/>
        <w:rPr>
          <w:rFonts w:eastAsia="Calibri"/>
          <w:sz w:val="24"/>
          <w:szCs w:val="24"/>
          <w:lang w:eastAsia="en-US"/>
        </w:rPr>
      </w:pPr>
      <w:bookmarkStart w:id="10" w:name="sub_1"/>
      <w:r>
        <w:rPr>
          <w:rFonts w:eastAsia="Calibri"/>
          <w:sz w:val="24"/>
          <w:szCs w:val="24"/>
          <w:lang w:eastAsia="en-US"/>
        </w:rPr>
        <w:t>Приложение № 1 – Спецификация.</w:t>
      </w:r>
    </w:p>
    <w:p>
      <w:pPr>
        <w:pStyle w:val="Normal"/>
        <w:widowControl/>
        <w:tabs>
          <w:tab w:val="clear" w:pos="708"/>
          <w:tab w:val="left" w:pos="0" w:leader="none"/>
          <w:tab w:val="left" w:pos="2694" w:leader="none"/>
        </w:tabs>
        <w:ind w:firstLine="709"/>
        <w:jc w:val="both"/>
        <w:rPr>
          <w:rFonts w:eastAsia="Calibri"/>
          <w:sz w:val="24"/>
          <w:szCs w:val="24"/>
          <w:lang w:eastAsia="en-US"/>
        </w:rPr>
      </w:pPr>
      <w:r>
        <w:rPr>
          <w:rFonts w:eastAsia="Calibri"/>
          <w:sz w:val="24"/>
          <w:szCs w:val="24"/>
          <w:lang w:eastAsia="en-US"/>
        </w:rPr>
        <w:t xml:space="preserve">Приложение № 2 – </w:t>
      </w:r>
      <w:r>
        <w:rPr>
          <w:sz w:val="24"/>
          <w:szCs w:val="24"/>
          <w:lang w:eastAsia="x-none"/>
        </w:rPr>
        <w:t>Технические требования.</w:t>
      </w:r>
      <w:bookmarkEnd w:id="10"/>
    </w:p>
    <w:p>
      <w:pPr>
        <w:pStyle w:val="Normal"/>
        <w:widowControl/>
        <w:tabs>
          <w:tab w:val="clear" w:pos="708"/>
          <w:tab w:val="left" w:pos="0" w:leader="none"/>
          <w:tab w:val="left" w:pos="2694" w:leader="none"/>
        </w:tabs>
        <w:ind w:firstLine="709"/>
        <w:jc w:val="both"/>
        <w:rPr>
          <w:bCs/>
          <w:sz w:val="24"/>
          <w:szCs w:val="24"/>
        </w:rPr>
      </w:pPr>
      <w:r>
        <w:rPr>
          <w:bCs/>
          <w:sz w:val="24"/>
          <w:szCs w:val="24"/>
        </w:rPr>
        <w:t xml:space="preserve">Приложение № 3 </w:t>
      </w:r>
      <w:r>
        <w:rPr>
          <w:rFonts w:eastAsia="Calibri"/>
          <w:sz w:val="24"/>
          <w:szCs w:val="24"/>
          <w:lang w:eastAsia="en-US"/>
        </w:rPr>
        <w:t>–</w:t>
      </w:r>
      <w:r>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pPr>
        <w:pStyle w:val="Normal"/>
        <w:ind w:firstLine="709"/>
        <w:jc w:val="both"/>
        <w:rPr>
          <w:sz w:val="24"/>
          <w:szCs w:val="24"/>
        </w:rPr>
      </w:pPr>
      <w:r>
        <w:rPr>
          <w:sz w:val="24"/>
          <w:szCs w:val="24"/>
        </w:rPr>
      </w:r>
    </w:p>
    <w:p>
      <w:pPr>
        <w:pStyle w:val="ListParagraph"/>
        <w:widowControl/>
        <w:numPr>
          <w:ilvl w:val="0"/>
          <w:numId w:val="2"/>
        </w:numPr>
        <w:tabs>
          <w:tab w:val="clear" w:pos="708"/>
          <w:tab w:val="left" w:pos="426" w:leader="none"/>
        </w:tabs>
        <w:ind w:left="0" w:hanging="0"/>
        <w:jc w:val="center"/>
        <w:rPr>
          <w:b/>
          <w:bCs/>
          <w:sz w:val="24"/>
          <w:szCs w:val="24"/>
        </w:rPr>
      </w:pPr>
      <w:r>
        <w:rPr>
          <w:b/>
          <w:bCs/>
          <w:sz w:val="24"/>
          <w:szCs w:val="24"/>
        </w:rPr>
        <w:t>Адреса и платежные реквизиты Сторон</w:t>
      </w:r>
    </w:p>
    <w:p>
      <w:pPr>
        <w:pStyle w:val="ListParagraph"/>
        <w:widowControl/>
        <w:tabs>
          <w:tab w:val="clear" w:pos="708"/>
          <w:tab w:val="left" w:pos="426" w:leader="none"/>
        </w:tabs>
        <w:ind w:left="0" w:hanging="0"/>
        <w:rPr>
          <w:b/>
          <w:bCs/>
          <w:sz w:val="24"/>
          <w:szCs w:val="24"/>
        </w:rPr>
      </w:pPr>
      <w:r>
        <w:rPr>
          <w:b/>
          <w:bCs/>
          <w:sz w:val="24"/>
          <w:szCs w:val="24"/>
        </w:rPr>
      </w:r>
    </w:p>
    <w:tbl>
      <w:tblPr>
        <w:tblW w:w="9890" w:type="dxa"/>
        <w:jc w:val="left"/>
        <w:tblInd w:w="0" w:type="dxa"/>
        <w:tblLayout w:type="fixed"/>
        <w:tblCellMar>
          <w:top w:w="0" w:type="dxa"/>
          <w:left w:w="108" w:type="dxa"/>
          <w:bottom w:w="0" w:type="dxa"/>
          <w:right w:w="108" w:type="dxa"/>
        </w:tblCellMar>
        <w:tblLook w:noVBand="0" w:val="01e0" w:noHBand="0" w:lastColumn="1" w:firstColumn="1" w:lastRow="1" w:firstRow="1"/>
      </w:tblPr>
      <w:tblGrid>
        <w:gridCol w:w="4928"/>
        <w:gridCol w:w="4961"/>
      </w:tblGrid>
      <w:tr>
        <w:trPr/>
        <w:tc>
          <w:tcPr>
            <w:tcW w:w="4928" w:type="dxa"/>
            <w:tcBorders/>
          </w:tcPr>
          <w:p>
            <w:pPr>
              <w:pStyle w:val="Normal"/>
              <w:widowControl w:val="false"/>
              <w:rPr>
                <w:sz w:val="24"/>
                <w:szCs w:val="24"/>
              </w:rPr>
            </w:pPr>
            <w:r>
              <w:rPr>
                <w:sz w:val="24"/>
                <w:szCs w:val="24"/>
              </w:rPr>
              <w:t>ПОКУПАТЕЛЬ:</w:t>
            </w:r>
          </w:p>
        </w:tc>
        <w:tc>
          <w:tcPr>
            <w:tcW w:w="4961" w:type="dxa"/>
            <w:tcBorders/>
          </w:tcPr>
          <w:p>
            <w:pPr>
              <w:pStyle w:val="Normal"/>
              <w:widowControl w:val="false"/>
              <w:rPr>
                <w:sz w:val="24"/>
                <w:szCs w:val="24"/>
              </w:rPr>
            </w:pPr>
            <w:r>
              <w:rPr>
                <w:sz w:val="24"/>
                <w:szCs w:val="24"/>
              </w:rPr>
              <w:t>ПОСТАВЩИК:</w:t>
            </w:r>
          </w:p>
        </w:tc>
      </w:tr>
      <w:tr>
        <w:trPr/>
        <w:tc>
          <w:tcPr>
            <w:tcW w:w="4928" w:type="dxa"/>
            <w:tcBorders/>
            <w:shd w:color="auto" w:fill="auto" w:val="clear"/>
          </w:tcPr>
          <w:p>
            <w:pPr>
              <w:pStyle w:val="Normal"/>
              <w:widowControl w:val="false"/>
              <w:rPr>
                <w:sz w:val="24"/>
                <w:szCs w:val="24"/>
              </w:rPr>
            </w:pPr>
            <w:r>
              <w:rPr>
                <w:sz w:val="24"/>
                <w:szCs w:val="24"/>
              </w:rPr>
            </w:r>
          </w:p>
          <w:p>
            <w:pPr>
              <w:pStyle w:val="Normal"/>
              <w:widowControl w:val="false"/>
              <w:rPr>
                <w:b/>
                <w:sz w:val="24"/>
                <w:szCs w:val="24"/>
              </w:rPr>
            </w:pPr>
            <w:r>
              <w:rPr>
                <w:b/>
                <w:sz w:val="24"/>
                <w:szCs w:val="24"/>
              </w:rPr>
              <w:t>Публичное акционерное общество</w:t>
            </w:r>
          </w:p>
          <w:p>
            <w:pPr>
              <w:pStyle w:val="Normal"/>
              <w:widowControl w:val="false"/>
              <w:rPr>
                <w:b/>
                <w:sz w:val="24"/>
                <w:szCs w:val="24"/>
              </w:rPr>
            </w:pPr>
            <w:r>
              <w:rPr>
                <w:b/>
                <w:sz w:val="24"/>
                <w:szCs w:val="24"/>
              </w:rPr>
              <w:t>«Федеральная гидрогенерирующая компания - РусГидро» (ПАО «РусГидро»)</w:t>
            </w:r>
          </w:p>
          <w:p>
            <w:pPr>
              <w:pStyle w:val="Normal"/>
              <w:widowControl w:val="false"/>
              <w:rPr>
                <w:sz w:val="24"/>
                <w:szCs w:val="24"/>
              </w:rPr>
            </w:pPr>
            <w:r>
              <w:rPr>
                <w:sz w:val="24"/>
                <w:szCs w:val="24"/>
              </w:rPr>
            </w:r>
          </w:p>
          <w:p>
            <w:pPr>
              <w:pStyle w:val="Normal"/>
              <w:widowControl w:val="false"/>
              <w:rPr>
                <w:sz w:val="24"/>
                <w:szCs w:val="24"/>
              </w:rPr>
            </w:pPr>
            <w:r>
              <w:rPr>
                <w:sz w:val="24"/>
                <w:szCs w:val="24"/>
              </w:rPr>
              <w:t xml:space="preserve">Место нахождения: </w:t>
            </w:r>
          </w:p>
          <w:p>
            <w:pPr>
              <w:pStyle w:val="Normal"/>
              <w:widowControl w:val="false"/>
              <w:rPr>
                <w:sz w:val="24"/>
                <w:szCs w:val="24"/>
              </w:rPr>
            </w:pPr>
            <w:r>
              <w:rPr>
                <w:sz w:val="24"/>
                <w:szCs w:val="24"/>
              </w:rPr>
              <w:t xml:space="preserve">660049, Красноярский край, г.о. город Красноярск, г. Красноярск, ул. Перенсона, зд. 2А, помещ. 1 </w:t>
            </w:r>
          </w:p>
          <w:p>
            <w:pPr>
              <w:pStyle w:val="Normal"/>
              <w:widowControl w:val="false"/>
              <w:rPr>
                <w:sz w:val="24"/>
                <w:szCs w:val="24"/>
              </w:rPr>
            </w:pPr>
            <w:r>
              <w:rPr>
                <w:sz w:val="24"/>
                <w:szCs w:val="24"/>
              </w:rPr>
              <w:t xml:space="preserve">Почтовый адрес: </w:t>
            </w:r>
          </w:p>
          <w:p>
            <w:pPr>
              <w:pStyle w:val="Normal"/>
              <w:widowControl w:val="false"/>
              <w:rPr>
                <w:sz w:val="24"/>
              </w:rPr>
            </w:pPr>
            <w:r>
              <w:rPr>
                <w:sz w:val="24"/>
                <w:szCs w:val="24"/>
              </w:rPr>
              <w:t xml:space="preserve">Филиал ПАО «РусГидро» - «Воткинская ГЭС», </w:t>
            </w:r>
            <w:r>
              <w:rPr>
                <w:sz w:val="24"/>
              </w:rPr>
              <w:t xml:space="preserve">617761, Пермский край,  </w:t>
            </w:r>
          </w:p>
          <w:p>
            <w:pPr>
              <w:pStyle w:val="BodyTextIndent3"/>
              <w:widowControl w:val="false"/>
              <w:ind w:left="-15" w:hanging="0"/>
              <w:rPr>
                <w:sz w:val="24"/>
              </w:rPr>
            </w:pPr>
            <w:r>
              <w:rPr>
                <w:sz w:val="24"/>
              </w:rPr>
              <w:t>г.о. Чайковский, г. Чайковский, тер. Воткинской ГЭС, д.1/2</w:t>
            </w:r>
          </w:p>
          <w:p>
            <w:pPr>
              <w:pStyle w:val="Normal"/>
              <w:widowControl w:val="false"/>
              <w:rPr>
                <w:sz w:val="24"/>
                <w:szCs w:val="24"/>
              </w:rPr>
            </w:pPr>
            <w:r>
              <w:rPr>
                <w:sz w:val="24"/>
                <w:szCs w:val="24"/>
              </w:rPr>
              <w:t xml:space="preserve">ОГРН 1042401810494, </w:t>
            </w:r>
          </w:p>
          <w:p>
            <w:pPr>
              <w:pStyle w:val="Normal"/>
              <w:widowControl w:val="false"/>
              <w:rPr>
                <w:sz w:val="24"/>
                <w:szCs w:val="24"/>
              </w:rPr>
            </w:pPr>
            <w:r>
              <w:rPr>
                <w:sz w:val="24"/>
                <w:szCs w:val="24"/>
              </w:rPr>
              <w:t>ИНН 2460066195 / КПП 592002001</w:t>
            </w:r>
          </w:p>
          <w:p>
            <w:pPr>
              <w:pStyle w:val="Normal"/>
              <w:widowControl w:val="false"/>
              <w:rPr>
                <w:sz w:val="24"/>
                <w:szCs w:val="24"/>
              </w:rPr>
            </w:pPr>
            <w:r>
              <w:rPr>
                <w:sz w:val="24"/>
                <w:szCs w:val="24"/>
              </w:rPr>
              <w:t xml:space="preserve">р/с 40702810700000059925 </w:t>
            </w:r>
          </w:p>
          <w:p>
            <w:pPr>
              <w:pStyle w:val="Normal"/>
              <w:widowControl w:val="false"/>
              <w:rPr>
                <w:sz w:val="24"/>
                <w:szCs w:val="24"/>
              </w:rPr>
            </w:pPr>
            <w:r>
              <w:rPr>
                <w:sz w:val="24"/>
                <w:szCs w:val="24"/>
              </w:rPr>
              <w:t xml:space="preserve">Банк ГПБ (АО) г. Москва </w:t>
            </w:r>
          </w:p>
          <w:p>
            <w:pPr>
              <w:pStyle w:val="Normal"/>
              <w:widowControl w:val="false"/>
              <w:rPr>
                <w:sz w:val="24"/>
                <w:szCs w:val="24"/>
              </w:rPr>
            </w:pPr>
            <w:r>
              <w:rPr>
                <w:sz w:val="24"/>
                <w:szCs w:val="24"/>
              </w:rPr>
              <w:t>к/с 30101810200000000823</w:t>
            </w:r>
          </w:p>
          <w:p>
            <w:pPr>
              <w:pStyle w:val="Normal"/>
              <w:widowControl w:val="false"/>
              <w:rPr>
                <w:sz w:val="24"/>
                <w:szCs w:val="24"/>
              </w:rPr>
            </w:pPr>
            <w:r>
              <w:rPr>
                <w:sz w:val="24"/>
                <w:szCs w:val="24"/>
              </w:rPr>
              <w:t xml:space="preserve">БИК 044525823 </w:t>
            </w:r>
          </w:p>
          <w:p>
            <w:pPr>
              <w:pStyle w:val="Normal"/>
              <w:widowControl w:val="false"/>
              <w:rPr>
                <w:sz w:val="24"/>
                <w:szCs w:val="24"/>
              </w:rPr>
            </w:pPr>
            <w:r>
              <w:rPr>
                <w:sz w:val="24"/>
                <w:szCs w:val="24"/>
              </w:rPr>
              <w:t>Тел. 8(34-241) 7-04-04, 7-03-31</w:t>
            </w:r>
          </w:p>
          <w:p>
            <w:pPr>
              <w:pStyle w:val="Normal"/>
              <w:widowControl w:val="false"/>
              <w:rPr>
                <w:sz w:val="24"/>
                <w:szCs w:val="24"/>
              </w:rPr>
            </w:pPr>
            <w:r>
              <w:rPr>
                <w:sz w:val="24"/>
                <w:szCs w:val="24"/>
              </w:rPr>
              <w:t>Факс 8(34-241) 7-03-55</w:t>
            </w:r>
          </w:p>
          <w:p>
            <w:pPr>
              <w:pStyle w:val="Normal"/>
              <w:widowControl w:val="false"/>
              <w:rPr>
                <w:sz w:val="24"/>
                <w:szCs w:val="24"/>
              </w:rPr>
            </w:pPr>
            <w:r>
              <w:rPr>
                <w:sz w:val="24"/>
                <w:szCs w:val="24"/>
              </w:rPr>
            </w:r>
          </w:p>
        </w:tc>
        <w:tc>
          <w:tcPr>
            <w:tcW w:w="4961" w:type="dxa"/>
            <w:tcBorders/>
            <w:shd w:color="auto" w:fill="auto" w:val="clear"/>
          </w:tcPr>
          <w:p>
            <w:pPr>
              <w:pStyle w:val="Normal"/>
              <w:widowControl w:val="false"/>
              <w:rPr>
                <w:sz w:val="24"/>
                <w:szCs w:val="24"/>
              </w:rPr>
            </w:pPr>
            <w:r>
              <w:rPr>
                <w:sz w:val="24"/>
                <w:szCs w:val="24"/>
              </w:rPr>
            </w:r>
          </w:p>
        </w:tc>
      </w:tr>
      <w:tr>
        <w:trPr/>
        <w:tc>
          <w:tcPr>
            <w:tcW w:w="4928" w:type="dxa"/>
            <w:tcBorders/>
          </w:tcPr>
          <w:p>
            <w:pPr>
              <w:pStyle w:val="Normal"/>
              <w:widowControl w:val="false"/>
              <w:rPr>
                <w:sz w:val="24"/>
                <w:szCs w:val="24"/>
              </w:rPr>
            </w:pPr>
            <w:r>
              <w:rPr>
                <w:sz w:val="24"/>
                <w:szCs w:val="24"/>
              </w:rPr>
              <w:t xml:space="preserve">_______________ / А.Г. Бяков </w:t>
            </w:r>
          </w:p>
          <w:p>
            <w:pPr>
              <w:pStyle w:val="Normal"/>
              <w:widowControl w:val="false"/>
              <w:rPr>
                <w:sz w:val="24"/>
                <w:szCs w:val="24"/>
              </w:rPr>
            </w:pPr>
            <w:r>
              <w:rPr>
                <w:sz w:val="24"/>
                <w:szCs w:val="24"/>
              </w:rPr>
            </w:r>
          </w:p>
        </w:tc>
        <w:tc>
          <w:tcPr>
            <w:tcW w:w="4961" w:type="dxa"/>
            <w:tcBorders/>
          </w:tcPr>
          <w:p>
            <w:pPr>
              <w:pStyle w:val="Normal"/>
              <w:widowControl w:val="false"/>
              <w:rPr>
                <w:sz w:val="24"/>
                <w:szCs w:val="24"/>
              </w:rPr>
            </w:pPr>
            <w:r>
              <w:rPr>
                <w:sz w:val="24"/>
                <w:szCs w:val="24"/>
              </w:rPr>
              <w:t xml:space="preserve">_______________ / </w:t>
            </w:r>
            <w:r>
              <w:rPr>
                <w:sz w:val="24"/>
                <w:szCs w:val="24"/>
                <w:lang w:val="en-US"/>
              </w:rPr>
              <w:t>_______________</w:t>
            </w:r>
            <w:r>
              <w:rPr>
                <w:sz w:val="24"/>
                <w:szCs w:val="24"/>
              </w:rPr>
              <w:t xml:space="preserve"> </w:t>
            </w:r>
          </w:p>
        </w:tc>
      </w:tr>
    </w:tbl>
    <w:p>
      <w:pPr>
        <w:sectPr>
          <w:headerReference w:type="default" r:id="rId5"/>
          <w:headerReference w:type="first" r:id="rId6"/>
          <w:footerReference w:type="default" r:id="rId7"/>
          <w:footnotePr>
            <w:numFmt w:val="decimal"/>
          </w:footnotePr>
          <w:type w:val="nextPage"/>
          <w:pgSz w:w="11906" w:h="16838"/>
          <w:pgMar w:left="1418" w:right="851" w:gutter="0" w:header="709" w:top="1134" w:footer="709" w:bottom="1134"/>
          <w:pgNumType w:fmt="decimal"/>
          <w:formProt w:val="false"/>
          <w:titlePg/>
          <w:textDirection w:val="lrTb"/>
          <w:docGrid w:type="default" w:linePitch="360" w:charSpace="0"/>
        </w:sectPr>
      </w:pPr>
    </w:p>
    <w:p>
      <w:pPr>
        <w:pStyle w:val="Normal"/>
        <w:ind w:left="5103" w:hanging="0"/>
        <w:jc w:val="right"/>
        <w:rPr>
          <w:sz w:val="22"/>
          <w:szCs w:val="22"/>
        </w:rPr>
      </w:pPr>
      <w:r>
        <w:rPr>
          <w:sz w:val="22"/>
          <w:szCs w:val="22"/>
        </w:rPr>
        <w:t>Приложение № 1к Договору поставки</w:t>
      </w:r>
    </w:p>
    <w:p>
      <w:pPr>
        <w:pStyle w:val="Normal"/>
        <w:ind w:left="5103" w:hanging="0"/>
        <w:jc w:val="right"/>
        <w:rPr>
          <w:sz w:val="22"/>
          <w:szCs w:val="22"/>
        </w:rPr>
      </w:pPr>
      <w:r>
        <w:rPr>
          <w:sz w:val="22"/>
          <w:szCs w:val="22"/>
        </w:rPr>
        <w:t>от «____» ________ 2026 г. № ____________</w:t>
      </w:r>
    </w:p>
    <w:p>
      <w:pPr>
        <w:pStyle w:val="Normal"/>
        <w:widowControl/>
        <w:jc w:val="right"/>
        <w:rPr>
          <w:rFonts w:eastAsia="Calibri"/>
          <w:b/>
          <w:sz w:val="24"/>
          <w:szCs w:val="24"/>
          <w:lang w:eastAsia="en-US"/>
        </w:rPr>
      </w:pPr>
      <w:r>
        <w:rPr>
          <w:rFonts w:eastAsia="Calibri"/>
          <w:b/>
          <w:sz w:val="24"/>
          <w:szCs w:val="24"/>
          <w:lang w:eastAsia="en-US"/>
        </w:rPr>
      </w:r>
    </w:p>
    <w:p>
      <w:pPr>
        <w:pStyle w:val="Normal"/>
        <w:jc w:val="center"/>
        <w:rPr>
          <w:b/>
          <w:sz w:val="24"/>
          <w:szCs w:val="24"/>
        </w:rPr>
      </w:pPr>
      <w:r>
        <w:rPr>
          <w:b/>
          <w:sz w:val="24"/>
          <w:szCs w:val="24"/>
        </w:rPr>
      </w:r>
    </w:p>
    <w:p>
      <w:pPr>
        <w:pStyle w:val="Normal"/>
        <w:jc w:val="center"/>
        <w:rPr>
          <w:b/>
          <w:sz w:val="24"/>
          <w:szCs w:val="24"/>
        </w:rPr>
      </w:pPr>
      <w:r>
        <w:rPr>
          <w:b/>
          <w:sz w:val="24"/>
          <w:szCs w:val="24"/>
        </w:rPr>
        <w:t xml:space="preserve">СПЕЦИФИКАЦИЯ </w:t>
      </w:r>
    </w:p>
    <w:p>
      <w:pPr>
        <w:pStyle w:val="Normal"/>
        <w:jc w:val="center"/>
        <w:rPr>
          <w:b/>
          <w:sz w:val="24"/>
          <w:szCs w:val="24"/>
        </w:rPr>
      </w:pPr>
      <w:r>
        <w:rPr>
          <w:b/>
          <w:sz w:val="24"/>
          <w:szCs w:val="24"/>
        </w:rPr>
      </w:r>
    </w:p>
    <w:tbl>
      <w:tblPr>
        <w:tblW w:w="5000" w:type="pct"/>
        <w:jc w:val="left"/>
        <w:tblInd w:w="-714" w:type="dxa"/>
        <w:tblLayout w:type="fixed"/>
        <w:tblCellMar>
          <w:top w:w="0" w:type="dxa"/>
          <w:left w:w="108" w:type="dxa"/>
          <w:bottom w:w="0" w:type="dxa"/>
          <w:right w:w="108" w:type="dxa"/>
        </w:tblCellMar>
        <w:tblLook w:noVBand="1" w:val="04a0" w:noHBand="0" w:lastColumn="0" w:firstColumn="1" w:lastRow="0" w:firstRow="1"/>
      </w:tblPr>
      <w:tblGrid>
        <w:gridCol w:w="305"/>
        <w:gridCol w:w="1570"/>
        <w:gridCol w:w="1529"/>
        <w:gridCol w:w="1047"/>
        <w:gridCol w:w="839"/>
        <w:gridCol w:w="886"/>
        <w:gridCol w:w="825"/>
        <w:gridCol w:w="429"/>
        <w:gridCol w:w="845"/>
        <w:gridCol w:w="562"/>
        <w:gridCol w:w="887"/>
        <w:gridCol w:w="4"/>
        <w:gridCol w:w="1041"/>
        <w:gridCol w:w="5"/>
        <w:gridCol w:w="1121"/>
        <w:gridCol w:w="5"/>
        <w:gridCol w:w="1357"/>
        <w:gridCol w:w="14"/>
        <w:gridCol w:w="1270"/>
        <w:gridCol w:w="17"/>
      </w:tblGrid>
      <w:tr>
        <w:trPr>
          <w:tblHeader w:val="true"/>
          <w:trHeight w:val="1999" w:hRule="atLeast"/>
        </w:trPr>
        <w:tc>
          <w:tcPr>
            <w:tcW w:w="30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 xml:space="preserve">№ </w:t>
            </w:r>
            <w:r>
              <w:rPr>
                <w:bCs/>
              </w:rPr>
              <w:t>поз.</w:t>
            </w:r>
          </w:p>
        </w:tc>
        <w:tc>
          <w:tcPr>
            <w:tcW w:w="157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Наименование Товара</w:t>
            </w:r>
          </w:p>
        </w:tc>
        <w:tc>
          <w:tcPr>
            <w:tcW w:w="152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Артикул, тип, марка</w:t>
            </w:r>
          </w:p>
        </w:tc>
        <w:tc>
          <w:tcPr>
            <w:tcW w:w="104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Производитель Товара</w:t>
            </w:r>
          </w:p>
        </w:tc>
        <w:tc>
          <w:tcPr>
            <w:tcW w:w="83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Страна происхождения Товара</w:t>
            </w:r>
          </w:p>
        </w:tc>
        <w:tc>
          <w:tcPr>
            <w:tcW w:w="88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t>Страна регистрации производителя Товара</w:t>
            </w:r>
          </w:p>
        </w:tc>
        <w:tc>
          <w:tcPr>
            <w:tcW w:w="825" w:type="dxa"/>
            <w:tcBorders>
              <w:top w:val="single" w:sz="4" w:space="0" w:color="000000"/>
              <w:left w:val="single" w:sz="4" w:space="0" w:color="000000"/>
              <w:bottom w:val="single" w:sz="4" w:space="0" w:color="000000"/>
              <w:right w:val="single" w:sz="4" w:space="0" w:color="000000"/>
            </w:tcBorders>
          </w:tcPr>
          <w:p>
            <w:pPr>
              <w:pStyle w:val="Normal"/>
              <w:widowControl w:val="false"/>
              <w:ind w:left="-104" w:right="-105" w:hanging="0"/>
              <w:jc w:val="center"/>
              <w:rPr>
                <w:bCs/>
              </w:rPr>
            </w:pPr>
            <w:r>
              <w:rPr>
                <w:bCs/>
              </w:rPr>
              <w:t>Код ОКПД 2 (с наименованием)</w:t>
            </w:r>
          </w:p>
        </w:tc>
        <w:tc>
          <w:tcPr>
            <w:tcW w:w="42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Ед. изм.</w:t>
            </w:r>
          </w:p>
        </w:tc>
        <w:tc>
          <w:tcPr>
            <w:tcW w:w="84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Порядковый номер(а) реестровой(ых) записи(ей)</w:t>
            </w:r>
          </w:p>
        </w:tc>
        <w:tc>
          <w:tcPr>
            <w:tcW w:w="56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Количество</w:t>
            </w:r>
          </w:p>
        </w:tc>
        <w:tc>
          <w:tcPr>
            <w:tcW w:w="88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51" w:leader="none"/>
              </w:tabs>
              <w:ind w:left="-69" w:hanging="0"/>
              <w:jc w:val="center"/>
              <w:rPr>
                <w:bCs/>
              </w:rPr>
            </w:pPr>
            <w:r>
              <w:rPr>
                <w:bCs/>
              </w:rPr>
              <w:t>Цена за единицу, руб. без НДС</w:t>
            </w:r>
          </w:p>
        </w:tc>
        <w:tc>
          <w:tcPr>
            <w:tcW w:w="104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Сумма, руб. без НДС</w:t>
            </w:r>
          </w:p>
        </w:tc>
        <w:tc>
          <w:tcPr>
            <w:tcW w:w="112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НДС</w:t>
            </w:r>
          </w:p>
          <w:p>
            <w:pPr>
              <w:pStyle w:val="Normal"/>
              <w:widowControl w:val="false"/>
              <w:jc w:val="center"/>
              <w:rPr>
                <w:bCs/>
              </w:rPr>
            </w:pPr>
            <w:r>
              <w:rPr>
                <w:bCs/>
              </w:rPr>
              <w:t>(22%) руб.</w:t>
            </w:r>
          </w:p>
        </w:tc>
        <w:tc>
          <w:tcPr>
            <w:tcW w:w="136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Стоимость, руб., с НДС</w:t>
            </w:r>
          </w:p>
        </w:tc>
        <w:tc>
          <w:tcPr>
            <w:tcW w:w="1284"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bCs/>
              </w:rPr>
            </w:pPr>
            <w:r>
              <w:rPr>
                <w:bCs/>
              </w:rPr>
              <w:t>Перечень сопроводительных документов (в том числе подтверждающих качество Товара)</w:t>
            </w:r>
          </w:p>
        </w:tc>
        <w:tc>
          <w:tcPr>
            <w:tcW w:w="17" w:type="dxa"/>
            <w:tcBorders/>
          </w:tcPr>
          <w:p>
            <w:pPr>
              <w:pStyle w:val="Normal"/>
              <w:widowControl w:val="false"/>
              <w:rPr/>
            </w:pPr>
            <w:r>
              <w:rPr/>
            </w:r>
          </w:p>
        </w:tc>
      </w:tr>
      <w:tr>
        <w:trPr>
          <w:trHeight w:val="190" w:hRule="atLeast"/>
        </w:trPr>
        <w:tc>
          <w:tcPr>
            <w:tcW w:w="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t>1</w:t>
            </w:r>
          </w:p>
        </w:tc>
        <w:tc>
          <w:tcPr>
            <w:tcW w:w="15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rPr/>
            </w:pPr>
            <w:r>
              <w:rPr/>
            </w:r>
          </w:p>
        </w:tc>
        <w:tc>
          <w:tcPr>
            <w:tcW w:w="15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10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75" w:hanging="0"/>
              <w:jc w:val="center"/>
              <w:rPr/>
            </w:pPr>
            <w:r>
              <w:rPr/>
            </w:r>
          </w:p>
        </w:tc>
        <w:tc>
          <w:tcPr>
            <w:tcW w:w="8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8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8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highlight w:val="yellow"/>
              </w:rPr>
            </w:pPr>
            <w:r>
              <w:rPr>
                <w:highlight w:val="yellow"/>
              </w:rPr>
            </w:r>
          </w:p>
        </w:tc>
        <w:tc>
          <w:tcPr>
            <w:tcW w:w="4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64" w:right="-150" w:hanging="0"/>
              <w:jc w:val="center"/>
              <w:rPr/>
            </w:pPr>
            <w:r>
              <w:rPr/>
            </w:r>
          </w:p>
        </w:tc>
        <w:tc>
          <w:tcPr>
            <w:tcW w:w="8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8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1045"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1126"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1362" w:type="dxa"/>
            <w:gridSpan w:val="2"/>
            <w:tcBorders>
              <w:top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1284"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4" w:hanging="0"/>
              <w:jc w:val="center"/>
              <w:rPr/>
            </w:pPr>
            <w:r>
              <w:rPr/>
            </w:r>
          </w:p>
        </w:tc>
        <w:tc>
          <w:tcPr>
            <w:tcW w:w="17" w:type="dxa"/>
            <w:tcBorders/>
          </w:tcPr>
          <w:p>
            <w:pPr>
              <w:pStyle w:val="Normal"/>
              <w:widowControl w:val="false"/>
              <w:rPr/>
            </w:pPr>
            <w:r>
              <w:rPr/>
            </w:r>
          </w:p>
        </w:tc>
      </w:tr>
      <w:tr>
        <w:trPr>
          <w:trHeight w:val="262" w:hRule="atLeast"/>
        </w:trPr>
        <w:tc>
          <w:tcPr>
            <w:tcW w:w="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t>2</w:t>
            </w:r>
          </w:p>
        </w:tc>
        <w:tc>
          <w:tcPr>
            <w:tcW w:w="15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rPr/>
            </w:pPr>
            <w:r>
              <w:rPr/>
            </w:r>
          </w:p>
        </w:tc>
        <w:tc>
          <w:tcPr>
            <w:tcW w:w="15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90" w:hanging="0"/>
              <w:jc w:val="center"/>
              <w:rPr/>
            </w:pPr>
            <w:r>
              <w:rPr/>
            </w:r>
          </w:p>
        </w:tc>
        <w:tc>
          <w:tcPr>
            <w:tcW w:w="10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75" w:hanging="0"/>
              <w:jc w:val="center"/>
              <w:rPr/>
            </w:pPr>
            <w:r>
              <w:rPr/>
            </w:r>
          </w:p>
        </w:tc>
        <w:tc>
          <w:tcPr>
            <w:tcW w:w="8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8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8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highlight w:val="yellow"/>
              </w:rPr>
            </w:pPr>
            <w:r>
              <w:rPr>
                <w:highlight w:val="yellow"/>
              </w:rPr>
            </w:r>
          </w:p>
        </w:tc>
        <w:tc>
          <w:tcPr>
            <w:tcW w:w="4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64" w:right="-150" w:hanging="0"/>
              <w:jc w:val="center"/>
              <w:rPr/>
            </w:pPr>
            <w:r>
              <w:rPr/>
            </w:r>
          </w:p>
        </w:tc>
        <w:tc>
          <w:tcPr>
            <w:tcW w:w="8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8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1045"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1126" w:type="dxa"/>
            <w:gridSpan w:val="2"/>
            <w:tcBorders>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1362" w:type="dxa"/>
            <w:gridSpan w:val="2"/>
            <w:tcBorders>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1284"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4" w:hanging="0"/>
              <w:jc w:val="center"/>
              <w:rPr/>
            </w:pPr>
            <w:r>
              <w:rPr/>
            </w:r>
          </w:p>
        </w:tc>
        <w:tc>
          <w:tcPr>
            <w:tcW w:w="17" w:type="dxa"/>
            <w:tcBorders/>
          </w:tcPr>
          <w:p>
            <w:pPr>
              <w:pStyle w:val="Normal"/>
              <w:widowControl w:val="false"/>
              <w:rPr/>
            </w:pPr>
            <w:r>
              <w:rPr/>
            </w:r>
          </w:p>
        </w:tc>
      </w:tr>
      <w:tr>
        <w:trPr>
          <w:trHeight w:val="262" w:hRule="atLeast"/>
        </w:trPr>
        <w:tc>
          <w:tcPr>
            <w:tcW w:w="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pPr>
            <w:r>
              <w:rPr/>
              <w:t>3</w:t>
            </w:r>
          </w:p>
        </w:tc>
        <w:tc>
          <w:tcPr>
            <w:tcW w:w="15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rPr/>
            </w:pPr>
            <w:r>
              <w:rPr/>
            </w:r>
          </w:p>
        </w:tc>
        <w:tc>
          <w:tcPr>
            <w:tcW w:w="15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90" w:hanging="0"/>
              <w:jc w:val="center"/>
              <w:rPr/>
            </w:pPr>
            <w:r>
              <w:rPr/>
            </w:r>
          </w:p>
        </w:tc>
        <w:tc>
          <w:tcPr>
            <w:tcW w:w="10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75" w:hanging="0"/>
              <w:jc w:val="center"/>
              <w:rPr/>
            </w:pPr>
            <w:r>
              <w:rPr/>
            </w:r>
          </w:p>
        </w:tc>
        <w:tc>
          <w:tcPr>
            <w:tcW w:w="8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8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8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highlight w:val="yellow"/>
              </w:rPr>
            </w:pPr>
            <w:r>
              <w:rPr>
                <w:highlight w:val="yellow"/>
              </w:rPr>
            </w:r>
          </w:p>
        </w:tc>
        <w:tc>
          <w:tcPr>
            <w:tcW w:w="4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64" w:right="-150" w:hanging="0"/>
              <w:jc w:val="center"/>
              <w:rPr/>
            </w:pPr>
            <w:r>
              <w:rPr/>
            </w:r>
          </w:p>
        </w:tc>
        <w:tc>
          <w:tcPr>
            <w:tcW w:w="8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8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1045"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1126" w:type="dxa"/>
            <w:gridSpan w:val="2"/>
            <w:tcBorders>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1362" w:type="dxa"/>
            <w:gridSpan w:val="2"/>
            <w:tcBorders>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1284"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4" w:hanging="0"/>
              <w:jc w:val="center"/>
              <w:rPr/>
            </w:pPr>
            <w:r>
              <w:rPr/>
            </w:r>
          </w:p>
        </w:tc>
        <w:tc>
          <w:tcPr>
            <w:tcW w:w="17" w:type="dxa"/>
            <w:tcBorders/>
          </w:tcPr>
          <w:p>
            <w:pPr>
              <w:pStyle w:val="Normal"/>
              <w:widowControl w:val="false"/>
              <w:rPr/>
            </w:pPr>
            <w:r>
              <w:rPr/>
            </w:r>
          </w:p>
        </w:tc>
      </w:tr>
      <w:tr>
        <w:trPr>
          <w:trHeight w:val="244" w:hRule="atLeast"/>
        </w:trPr>
        <w:tc>
          <w:tcPr>
            <w:tcW w:w="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lang w:val="en-US"/>
              </w:rPr>
            </w:pPr>
            <w:r>
              <w:rPr>
                <w:lang w:val="en-US"/>
              </w:rPr>
              <w:t>…</w:t>
            </w:r>
          </w:p>
        </w:tc>
        <w:tc>
          <w:tcPr>
            <w:tcW w:w="15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rPr/>
            </w:pPr>
            <w:r>
              <w:rPr/>
            </w:r>
          </w:p>
        </w:tc>
        <w:tc>
          <w:tcPr>
            <w:tcW w:w="15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90" w:hanging="0"/>
              <w:jc w:val="center"/>
              <w:rPr/>
            </w:pPr>
            <w:r>
              <w:rPr/>
            </w:r>
          </w:p>
        </w:tc>
        <w:tc>
          <w:tcPr>
            <w:tcW w:w="10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75" w:hanging="0"/>
              <w:jc w:val="center"/>
              <w:rPr/>
            </w:pPr>
            <w:r>
              <w:rPr/>
            </w:r>
          </w:p>
        </w:tc>
        <w:tc>
          <w:tcPr>
            <w:tcW w:w="8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8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8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highlight w:val="yellow"/>
              </w:rPr>
            </w:pPr>
            <w:r>
              <w:rPr>
                <w:highlight w:val="yellow"/>
              </w:rPr>
            </w:r>
          </w:p>
        </w:tc>
        <w:tc>
          <w:tcPr>
            <w:tcW w:w="4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64" w:right="-150" w:hanging="0"/>
              <w:jc w:val="center"/>
              <w:rPr/>
            </w:pPr>
            <w:r>
              <w:rPr/>
            </w:r>
          </w:p>
        </w:tc>
        <w:tc>
          <w:tcPr>
            <w:tcW w:w="8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8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1045"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1126" w:type="dxa"/>
            <w:gridSpan w:val="2"/>
            <w:tcBorders>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1362" w:type="dxa"/>
            <w:gridSpan w:val="2"/>
            <w:tcBorders>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1284"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4" w:hanging="0"/>
              <w:jc w:val="center"/>
              <w:rPr/>
            </w:pPr>
            <w:r>
              <w:rPr/>
            </w:r>
          </w:p>
        </w:tc>
        <w:tc>
          <w:tcPr>
            <w:tcW w:w="17" w:type="dxa"/>
            <w:tcBorders/>
          </w:tcPr>
          <w:p>
            <w:pPr>
              <w:pStyle w:val="Normal"/>
              <w:widowControl w:val="false"/>
              <w:rPr/>
            </w:pPr>
            <w:r>
              <w:rPr/>
            </w:r>
          </w:p>
        </w:tc>
      </w:tr>
      <w:tr>
        <w:trPr>
          <w:trHeight w:val="70" w:hRule="atLeast"/>
        </w:trPr>
        <w:tc>
          <w:tcPr>
            <w:tcW w:w="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lang w:val="en-US"/>
              </w:rPr>
            </w:pPr>
            <w:r>
              <w:rPr>
                <w:lang w:val="en-US"/>
              </w:rPr>
              <w:t>…</w:t>
            </w:r>
          </w:p>
        </w:tc>
        <w:tc>
          <w:tcPr>
            <w:tcW w:w="15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rPr/>
            </w:pPr>
            <w:r>
              <w:rPr/>
            </w:r>
          </w:p>
        </w:tc>
        <w:tc>
          <w:tcPr>
            <w:tcW w:w="15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90" w:hanging="0"/>
              <w:jc w:val="center"/>
              <w:rPr/>
            </w:pPr>
            <w:r>
              <w:rPr/>
            </w:r>
          </w:p>
        </w:tc>
        <w:tc>
          <w:tcPr>
            <w:tcW w:w="10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75" w:hanging="0"/>
              <w:jc w:val="center"/>
              <w:rPr>
                <w:lang w:val="en-US"/>
              </w:rPr>
            </w:pPr>
            <w:r>
              <w:rPr>
                <w:lang w:val="en-US"/>
              </w:rPr>
            </w:r>
          </w:p>
        </w:tc>
        <w:tc>
          <w:tcPr>
            <w:tcW w:w="8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8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8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highlight w:val="yellow"/>
              </w:rPr>
            </w:pPr>
            <w:r>
              <w:rPr>
                <w:highlight w:val="yellow"/>
              </w:rPr>
            </w:r>
          </w:p>
        </w:tc>
        <w:tc>
          <w:tcPr>
            <w:tcW w:w="4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64" w:right="-150" w:hanging="0"/>
              <w:jc w:val="center"/>
              <w:rPr/>
            </w:pPr>
            <w:r>
              <w:rPr/>
            </w:r>
          </w:p>
        </w:tc>
        <w:tc>
          <w:tcPr>
            <w:tcW w:w="8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8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1045"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1126" w:type="dxa"/>
            <w:gridSpan w:val="2"/>
            <w:tcBorders>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1362" w:type="dxa"/>
            <w:gridSpan w:val="2"/>
            <w:tcBorders>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1284"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4" w:hanging="0"/>
              <w:jc w:val="center"/>
              <w:rPr/>
            </w:pPr>
            <w:r>
              <w:rPr/>
            </w:r>
          </w:p>
        </w:tc>
        <w:tc>
          <w:tcPr>
            <w:tcW w:w="17" w:type="dxa"/>
            <w:tcBorders/>
          </w:tcPr>
          <w:p>
            <w:pPr>
              <w:pStyle w:val="Normal"/>
              <w:widowControl w:val="false"/>
              <w:rPr/>
            </w:pPr>
            <w:r>
              <w:rPr/>
            </w:r>
          </w:p>
        </w:tc>
      </w:tr>
      <w:tr>
        <w:trPr>
          <w:trHeight w:val="70" w:hRule="atLeast"/>
        </w:trPr>
        <w:tc>
          <w:tcPr>
            <w:tcW w:w="3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rPr>
                <w:lang w:val="en-US"/>
              </w:rPr>
            </w:pPr>
            <w:r>
              <w:rPr>
                <w:lang w:val="en-US"/>
              </w:rPr>
              <w:t>…</w:t>
            </w:r>
          </w:p>
        </w:tc>
        <w:tc>
          <w:tcPr>
            <w:tcW w:w="15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rPr/>
            </w:pPr>
            <w:r>
              <w:rPr/>
            </w:r>
          </w:p>
        </w:tc>
        <w:tc>
          <w:tcPr>
            <w:tcW w:w="15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90" w:hanging="0"/>
              <w:jc w:val="center"/>
              <w:rPr/>
            </w:pPr>
            <w:r>
              <w:rPr/>
            </w:r>
          </w:p>
        </w:tc>
        <w:tc>
          <w:tcPr>
            <w:tcW w:w="10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75" w:hanging="0"/>
              <w:jc w:val="center"/>
              <w:rPr/>
            </w:pPr>
            <w:r>
              <w:rPr/>
            </w:r>
          </w:p>
        </w:tc>
        <w:tc>
          <w:tcPr>
            <w:tcW w:w="8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8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82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highlight w:val="yellow"/>
              </w:rPr>
            </w:pPr>
            <w:r>
              <w:rPr>
                <w:highlight w:val="yellow"/>
              </w:rPr>
            </w:r>
          </w:p>
        </w:tc>
        <w:tc>
          <w:tcPr>
            <w:tcW w:w="4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64" w:right="-150" w:hanging="0"/>
              <w:jc w:val="center"/>
              <w:rPr/>
            </w:pPr>
            <w:r>
              <w:rPr/>
            </w:r>
          </w:p>
        </w:tc>
        <w:tc>
          <w:tcPr>
            <w:tcW w:w="8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5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8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1045"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pPr>
            <w:r>
              <w:rPr/>
            </w:r>
          </w:p>
        </w:tc>
        <w:tc>
          <w:tcPr>
            <w:tcW w:w="1126" w:type="dxa"/>
            <w:gridSpan w:val="2"/>
            <w:tcBorders>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1362" w:type="dxa"/>
            <w:gridSpan w:val="2"/>
            <w:tcBorders>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c>
          <w:tcPr>
            <w:tcW w:w="1284"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4" w:hanging="0"/>
              <w:jc w:val="center"/>
              <w:rPr/>
            </w:pPr>
            <w:r>
              <w:rPr/>
            </w:r>
          </w:p>
        </w:tc>
        <w:tc>
          <w:tcPr>
            <w:tcW w:w="17" w:type="dxa"/>
            <w:tcBorders/>
          </w:tcPr>
          <w:p>
            <w:pPr>
              <w:pStyle w:val="Normal"/>
              <w:widowControl w:val="false"/>
              <w:rPr/>
            </w:pPr>
            <w:r>
              <w:rPr/>
            </w:r>
          </w:p>
        </w:tc>
      </w:tr>
      <w:tr>
        <w:trPr>
          <w:trHeight w:val="538" w:hRule="atLeast"/>
        </w:trPr>
        <w:tc>
          <w:tcPr>
            <w:tcW w:w="9728" w:type="dxa"/>
            <w:gridSpan w:val="12"/>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90" w:hanging="0"/>
              <w:jc w:val="right"/>
              <w:rPr>
                <w:sz w:val="24"/>
                <w:szCs w:val="24"/>
              </w:rPr>
            </w:pPr>
            <w:r>
              <w:rPr>
                <w:sz w:val="24"/>
                <w:szCs w:val="24"/>
              </w:rPr>
              <w:t>Итого стоимость всего Товара (с учетом доставки), руб.</w:t>
            </w:r>
          </w:p>
        </w:tc>
        <w:tc>
          <w:tcPr>
            <w:tcW w:w="1046"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b/>
              </w:rPr>
            </w:pPr>
            <w:r>
              <w:rPr>
                <w:b/>
              </w:rPr>
            </w:r>
          </w:p>
        </w:tc>
        <w:tc>
          <w:tcPr>
            <w:tcW w:w="1126"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104" w:right="-150" w:hanging="0"/>
              <w:jc w:val="center"/>
              <w:rPr>
                <w:b/>
              </w:rPr>
            </w:pPr>
            <w:r>
              <w:rPr>
                <w:b/>
              </w:rPr>
            </w:r>
          </w:p>
        </w:tc>
        <w:tc>
          <w:tcPr>
            <w:tcW w:w="1371"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b/>
              </w:rPr>
            </w:pPr>
            <w:r>
              <w:rPr>
                <w:b/>
              </w:rPr>
            </w:r>
          </w:p>
        </w:tc>
        <w:tc>
          <w:tcPr>
            <w:tcW w:w="128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04" w:right="-150" w:hanging="0"/>
              <w:jc w:val="center"/>
              <w:rPr/>
            </w:pPr>
            <w:r>
              <w:rPr/>
            </w:r>
          </w:p>
        </w:tc>
      </w:tr>
    </w:tbl>
    <w:p>
      <w:pPr>
        <w:pStyle w:val="Normal"/>
        <w:rPr>
          <w:i/>
          <w:i/>
          <w:sz w:val="24"/>
          <w:szCs w:val="24"/>
        </w:rPr>
      </w:pPr>
      <w:r>
        <w:rPr>
          <w:i/>
          <w:sz w:val="24"/>
          <w:szCs w:val="24"/>
        </w:rPr>
      </w:r>
    </w:p>
    <w:p>
      <w:pPr>
        <w:pStyle w:val="Normal"/>
        <w:rPr>
          <w:i/>
          <w:i/>
          <w:sz w:val="22"/>
          <w:szCs w:val="22"/>
        </w:rPr>
      </w:pPr>
      <w:r>
        <w:rPr>
          <w:i/>
          <w:sz w:val="22"/>
          <w:szCs w:val="22"/>
        </w:rPr>
      </w:r>
    </w:p>
    <w:p>
      <w:pPr>
        <w:pStyle w:val="Normal"/>
        <w:rPr>
          <w:i/>
          <w:i/>
          <w:sz w:val="22"/>
          <w:szCs w:val="22"/>
        </w:rPr>
      </w:pPr>
      <w:r>
        <w:rPr>
          <w:i/>
          <w:sz w:val="22"/>
          <w:szCs w:val="22"/>
        </w:rPr>
      </w:r>
    </w:p>
    <w:tbl>
      <w:tblPr>
        <w:tblW w:w="14562"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7282"/>
        <w:gridCol w:w="7279"/>
      </w:tblGrid>
      <w:tr>
        <w:trPr>
          <w:trHeight w:val="269" w:hRule="atLeast"/>
        </w:trPr>
        <w:tc>
          <w:tcPr>
            <w:tcW w:w="7282" w:type="dxa"/>
            <w:tcBorders/>
          </w:tcPr>
          <w:p>
            <w:pPr>
              <w:pStyle w:val="Normal"/>
              <w:widowControl w:val="false"/>
              <w:rPr>
                <w:b/>
                <w:sz w:val="24"/>
              </w:rPr>
            </w:pPr>
            <w:r>
              <w:rPr>
                <w:b/>
                <w:sz w:val="24"/>
              </w:rPr>
              <w:t>Покупатель:</w:t>
            </w:r>
          </w:p>
        </w:tc>
        <w:tc>
          <w:tcPr>
            <w:tcW w:w="7279" w:type="dxa"/>
            <w:tcBorders/>
          </w:tcPr>
          <w:p>
            <w:pPr>
              <w:pStyle w:val="Normal"/>
              <w:widowControl w:val="false"/>
              <w:rPr>
                <w:b/>
                <w:sz w:val="24"/>
              </w:rPr>
            </w:pPr>
            <w:r>
              <w:rPr>
                <w:b/>
                <w:sz w:val="24"/>
              </w:rPr>
              <w:t>Поставщик:</w:t>
            </w:r>
          </w:p>
          <w:p>
            <w:pPr>
              <w:pStyle w:val="Normal"/>
              <w:widowControl w:val="false"/>
              <w:rPr>
                <w:b/>
                <w:sz w:val="24"/>
              </w:rPr>
            </w:pPr>
            <w:r>
              <w:rPr>
                <w:b/>
                <w:sz w:val="24"/>
              </w:rPr>
            </w:r>
          </w:p>
        </w:tc>
      </w:tr>
    </w:tbl>
    <w:p>
      <w:pPr>
        <w:sectPr>
          <w:headerReference w:type="default" r:id="rId8"/>
          <w:headerReference w:type="first" r:id="rId9"/>
          <w:footerReference w:type="default" r:id="rId10"/>
          <w:footerReference w:type="first" r:id="rId11"/>
          <w:footnotePr>
            <w:numFmt w:val="decimal"/>
          </w:footnotePr>
          <w:type w:val="nextPage"/>
          <w:pgSz w:orient="landscape" w:w="16838" w:h="11906"/>
          <w:pgMar w:left="1138" w:right="1138" w:gutter="0" w:header="706" w:top="1411" w:footer="706" w:bottom="850"/>
          <w:pgNumType w:fmt="decimal"/>
          <w:formProt w:val="false"/>
          <w:textDirection w:val="lrTb"/>
          <w:docGrid w:type="default" w:linePitch="360" w:charSpace="0"/>
        </w:sectPr>
        <w:pStyle w:val="Normal"/>
        <w:rPr>
          <w:i/>
          <w:i/>
          <w:sz w:val="24"/>
          <w:szCs w:val="24"/>
          <w:highlight w:val="yellow"/>
        </w:rPr>
      </w:pPr>
      <w:r>
        <w:rPr/>
        <w:t xml:space="preserve"> </w:t>
      </w:r>
      <w:r>
        <w:rPr>
          <w:sz w:val="24"/>
          <w:szCs w:val="24"/>
        </w:rPr>
        <w:t>__________________ /А.Г. Бяков</w:t>
        <w:tab/>
        <w:t xml:space="preserve">                                                                               _______________ /_________</w:t>
      </w:r>
    </w:p>
    <w:p>
      <w:pPr>
        <w:pStyle w:val="Normal"/>
        <w:ind w:left="5103" w:hanging="0"/>
        <w:jc w:val="right"/>
        <w:rPr>
          <w:sz w:val="22"/>
          <w:szCs w:val="22"/>
        </w:rPr>
      </w:pPr>
      <w:r>
        <w:rPr>
          <w:sz w:val="22"/>
          <w:szCs w:val="22"/>
        </w:rPr>
        <w:t>Приложение № 2</w:t>
      </w:r>
    </w:p>
    <w:p>
      <w:pPr>
        <w:pStyle w:val="Normal"/>
        <w:ind w:left="5103" w:hanging="0"/>
        <w:jc w:val="right"/>
        <w:rPr>
          <w:sz w:val="22"/>
          <w:szCs w:val="22"/>
        </w:rPr>
      </w:pPr>
      <w:r>
        <w:rPr>
          <w:sz w:val="22"/>
          <w:szCs w:val="22"/>
        </w:rPr>
        <w:t xml:space="preserve">к Договору поставки </w:t>
      </w:r>
    </w:p>
    <w:p>
      <w:pPr>
        <w:pStyle w:val="Normal"/>
        <w:ind w:left="5103" w:hanging="0"/>
        <w:jc w:val="right"/>
        <w:rPr>
          <w:sz w:val="22"/>
          <w:szCs w:val="22"/>
        </w:rPr>
      </w:pPr>
      <w:r>
        <w:rPr>
          <w:sz w:val="22"/>
          <w:szCs w:val="22"/>
        </w:rPr>
        <w:t xml:space="preserve">от «____» ________ 2026 г. № ____________ </w:t>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ind w:firstLine="567"/>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t>ТЕХНИЧЕСКИЕ ТРЕБОВАНИЯ</w:t>
      </w:r>
    </w:p>
    <w:p>
      <w:pPr>
        <w:pStyle w:val="Normal"/>
        <w:widowControl/>
        <w:jc w:val="center"/>
        <w:rPr>
          <w:rFonts w:eastAsia="Calibri"/>
          <w:sz w:val="24"/>
          <w:szCs w:val="24"/>
          <w:lang w:eastAsia="en-US"/>
        </w:rPr>
      </w:pPr>
      <w:r>
        <w:rPr>
          <w:rFonts w:eastAsia="Calibri"/>
          <w:sz w:val="24"/>
          <w:szCs w:val="24"/>
          <w:lang w:eastAsia="en-US"/>
        </w:rPr>
        <w:t>ОКПД2 32.99.11.199 Поставка средств индивидуальной защиты для нужд филиала ПАО "РусГидро"-"Воткинская ГЭС"</w:t>
      </w:r>
    </w:p>
    <w:p>
      <w:pPr>
        <w:pStyle w:val="Normal"/>
        <w:widowControl/>
        <w:jc w:val="center"/>
        <w:rPr>
          <w:rFonts w:eastAsia="Calibri"/>
          <w:sz w:val="24"/>
          <w:szCs w:val="24"/>
          <w:lang w:eastAsia="en-US"/>
        </w:rPr>
      </w:pPr>
      <w:r>
        <w:rPr>
          <w:rFonts w:eastAsia="Calibri"/>
          <w:sz w:val="24"/>
          <w:szCs w:val="24"/>
          <w:lang w:eastAsia="en-US"/>
        </w:rPr>
      </w:r>
    </w:p>
    <w:p>
      <w:pPr>
        <w:pStyle w:val="Normal"/>
        <w:widowControl/>
        <w:jc w:val="center"/>
        <w:rPr>
          <w:rFonts w:eastAsia="Calibri"/>
          <w:sz w:val="24"/>
          <w:szCs w:val="24"/>
          <w:lang w:eastAsia="en-US"/>
        </w:rPr>
      </w:pPr>
      <w:r>
        <w:rPr>
          <w:rFonts w:eastAsia="Calibri"/>
          <w:sz w:val="24"/>
          <w:szCs w:val="24"/>
          <w:lang w:eastAsia="en-US"/>
        </w:rPr>
        <w:t>Лот № 32-ЭКСП-БПД-2026-ВотГЭС</w:t>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rFonts w:eastAsia="Calibri"/>
          <w:b/>
          <w:sz w:val="24"/>
          <w:szCs w:val="24"/>
          <w:lang w:eastAsia="en-US"/>
        </w:rPr>
      </w:pPr>
      <w:r>
        <w:rPr>
          <w:rFonts w:eastAsia="Calibri"/>
          <w:b/>
          <w:sz w:val="24"/>
          <w:szCs w:val="24"/>
          <w:lang w:eastAsia="en-US"/>
        </w:rPr>
      </w:r>
    </w:p>
    <w:p>
      <w:pPr>
        <w:pStyle w:val="Normal"/>
        <w:widowControl/>
        <w:jc w:val="center"/>
        <w:rPr>
          <w:b/>
          <w:sz w:val="24"/>
          <w:szCs w:val="24"/>
        </w:rPr>
      </w:pPr>
      <w:r>
        <w:rPr>
          <w:b/>
          <w:sz w:val="24"/>
          <w:szCs w:val="24"/>
        </w:rPr>
      </w:r>
    </w:p>
    <w:p>
      <w:pPr>
        <w:pStyle w:val="Normal"/>
        <w:numPr>
          <w:ilvl w:val="0"/>
          <w:numId w:val="0"/>
        </w:numPr>
        <w:jc w:val="center"/>
        <w:outlineLvl w:val="0"/>
        <w:rPr>
          <w:b/>
          <w:bCs/>
          <w:sz w:val="24"/>
          <w:szCs w:val="24"/>
        </w:rPr>
      </w:pPr>
      <w:r>
        <w:rPr>
          <w:b/>
          <w:bCs/>
          <w:sz w:val="24"/>
          <w:szCs w:val="24"/>
        </w:rPr>
        <w:t>ПОДПИСИ СТОРОН:</w:t>
      </w:r>
    </w:p>
    <w:p>
      <w:pPr>
        <w:pStyle w:val="Normal"/>
        <w:numPr>
          <w:ilvl w:val="0"/>
          <w:numId w:val="0"/>
        </w:numPr>
        <w:jc w:val="center"/>
        <w:outlineLvl w:val="0"/>
        <w:rPr>
          <w:bCs/>
          <w:sz w:val="24"/>
          <w:szCs w:val="24"/>
        </w:rPr>
      </w:pPr>
      <w:r>
        <w:rPr>
          <w:bCs/>
          <w:sz w:val="24"/>
          <w:szCs w:val="24"/>
        </w:rPr>
      </w:r>
    </w:p>
    <w:tbl>
      <w:tblPr>
        <w:tblW w:w="9986" w:type="dxa"/>
        <w:jc w:val="left"/>
        <w:tblInd w:w="-176" w:type="dxa"/>
        <w:tblLayout w:type="fixed"/>
        <w:tblCellMar>
          <w:top w:w="0" w:type="dxa"/>
          <w:left w:w="108" w:type="dxa"/>
          <w:bottom w:w="0" w:type="dxa"/>
          <w:right w:w="108" w:type="dxa"/>
        </w:tblCellMar>
        <w:tblLook w:noVBand="1" w:val="04a0" w:noHBand="0" w:lastColumn="0" w:firstColumn="1" w:lastRow="0" w:firstRow="1"/>
      </w:tblPr>
      <w:tblGrid>
        <w:gridCol w:w="5305"/>
        <w:gridCol w:w="4680"/>
      </w:tblGrid>
      <w:tr>
        <w:trPr/>
        <w:tc>
          <w:tcPr>
            <w:tcW w:w="5305" w:type="dxa"/>
            <w:tcBorders/>
            <w:shd w:color="auto" w:fill="auto" w:val="clear"/>
          </w:tcPr>
          <w:p>
            <w:pPr>
              <w:pStyle w:val="Normal"/>
              <w:widowControl w:val="false"/>
              <w:rPr>
                <w:b/>
                <w:sz w:val="24"/>
                <w:szCs w:val="24"/>
              </w:rPr>
            </w:pPr>
            <w:r>
              <w:rPr>
                <w:b/>
                <w:sz w:val="24"/>
                <w:szCs w:val="24"/>
              </w:rPr>
              <w:t>Покупатель:</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_____________________/А.Г. Бяков</w:t>
            </w:r>
          </w:p>
          <w:p>
            <w:pPr>
              <w:pStyle w:val="Normal"/>
              <w:widowControl w:val="false"/>
              <w:rPr>
                <w:sz w:val="24"/>
                <w:szCs w:val="24"/>
              </w:rPr>
            </w:pPr>
            <w:r>
              <w:rPr>
                <w:sz w:val="24"/>
                <w:szCs w:val="24"/>
              </w:rPr>
            </w:r>
          </w:p>
        </w:tc>
        <w:tc>
          <w:tcPr>
            <w:tcW w:w="4680" w:type="dxa"/>
            <w:tcBorders/>
            <w:shd w:color="auto" w:fill="auto" w:val="clear"/>
          </w:tcPr>
          <w:p>
            <w:pPr>
              <w:pStyle w:val="Normal"/>
              <w:widowControl w:val="false"/>
              <w:rPr>
                <w:b/>
                <w:sz w:val="24"/>
                <w:szCs w:val="24"/>
              </w:rPr>
            </w:pPr>
            <w:r>
              <w:rPr>
                <w:b/>
                <w:sz w:val="24"/>
                <w:szCs w:val="24"/>
              </w:rPr>
              <w:t>Поставщик:</w:t>
            </w:r>
          </w:p>
          <w:p>
            <w:pPr>
              <w:pStyle w:val="Normal"/>
              <w:widowControl w:val="false"/>
              <w:rPr>
                <w:sz w:val="24"/>
                <w:szCs w:val="24"/>
              </w:rPr>
            </w:pPr>
            <w:r>
              <w:rPr>
                <w:sz w:val="24"/>
                <w:szCs w:val="24"/>
              </w:rPr>
            </w:r>
          </w:p>
          <w:p>
            <w:pPr>
              <w:pStyle w:val="Normal"/>
              <w:widowControl w:val="false"/>
              <w:rPr>
                <w:sz w:val="24"/>
                <w:szCs w:val="24"/>
                <w:lang w:val="en-US"/>
              </w:rPr>
            </w:pPr>
            <w:r>
              <w:rPr>
                <w:sz w:val="24"/>
                <w:szCs w:val="24"/>
              </w:rPr>
              <w:t>_____________________/</w:t>
            </w:r>
            <w:r>
              <w:rPr>
                <w:sz w:val="24"/>
                <w:szCs w:val="24"/>
                <w:lang w:val="en-US"/>
              </w:rPr>
              <w:t>________</w:t>
            </w:r>
          </w:p>
          <w:p>
            <w:pPr>
              <w:pStyle w:val="Normal"/>
              <w:widowControl w:val="false"/>
              <w:ind w:firstLine="33"/>
              <w:rPr>
                <w:b/>
                <w:sz w:val="24"/>
                <w:szCs w:val="24"/>
              </w:rPr>
            </w:pPr>
            <w:r>
              <w:rPr>
                <w:b/>
                <w:sz w:val="24"/>
                <w:szCs w:val="24"/>
              </w:rPr>
            </w:r>
          </w:p>
        </w:tc>
      </w:tr>
    </w:tbl>
    <w:p>
      <w:pPr>
        <w:sectPr>
          <w:headerReference w:type="default" r:id="rId12"/>
          <w:headerReference w:type="first" r:id="rId13"/>
          <w:footerReference w:type="default" r:id="rId14"/>
          <w:footerReference w:type="first" r:id="rId15"/>
          <w:footnotePr>
            <w:numFmt w:val="decimal"/>
          </w:footnotePr>
          <w:type w:val="nextPage"/>
          <w:pgSz w:w="11906" w:h="16838"/>
          <w:pgMar w:left="1418" w:right="851" w:gutter="0" w:header="567" w:top="1134" w:footer="709" w:bottom="1134"/>
          <w:pgNumType w:fmt="decimal"/>
          <w:formProt w:val="false"/>
          <w:textDirection w:val="lrTb"/>
          <w:docGrid w:type="default" w:linePitch="360" w:charSpace="0"/>
        </w:sectPr>
      </w:pPr>
    </w:p>
    <w:p>
      <w:pPr>
        <w:pStyle w:val="Normal"/>
        <w:widowControl/>
        <w:jc w:val="right"/>
        <w:rPr>
          <w:rFonts w:eastAsia="Calibri"/>
          <w:sz w:val="24"/>
          <w:szCs w:val="24"/>
          <w:lang w:eastAsia="en-US"/>
        </w:rPr>
      </w:pPr>
      <w:r>
        <w:rPr>
          <w:rFonts w:eastAsia="Calibri"/>
          <w:sz w:val="24"/>
          <w:szCs w:val="24"/>
          <w:lang w:eastAsia="en-US"/>
        </w:rPr>
      </w:r>
    </w:p>
    <w:p>
      <w:pPr>
        <w:pStyle w:val="Normal"/>
        <w:ind w:firstLine="5580"/>
        <w:jc w:val="right"/>
        <w:rPr>
          <w:sz w:val="24"/>
          <w:szCs w:val="24"/>
        </w:rPr>
      </w:pPr>
      <w:r>
        <w:rPr>
          <w:sz w:val="24"/>
          <w:szCs w:val="24"/>
        </w:rPr>
        <w:t>Приложение № 3</w:t>
      </w:r>
    </w:p>
    <w:p>
      <w:pPr>
        <w:pStyle w:val="Normal"/>
        <w:ind w:firstLine="5580"/>
        <w:jc w:val="right"/>
        <w:rPr>
          <w:sz w:val="24"/>
          <w:szCs w:val="24"/>
        </w:rPr>
      </w:pPr>
      <w:r>
        <w:rPr>
          <w:sz w:val="24"/>
          <w:szCs w:val="24"/>
        </w:rPr>
        <w:t>к Договору поставки</w:t>
      </w:r>
    </w:p>
    <w:p>
      <w:pPr>
        <w:pStyle w:val="Normal"/>
        <w:ind w:firstLine="5580"/>
        <w:jc w:val="right"/>
        <w:rPr>
          <w:bCs/>
          <w:sz w:val="24"/>
          <w:szCs w:val="24"/>
        </w:rPr>
      </w:pPr>
      <w:r>
        <w:rPr>
          <w:sz w:val="24"/>
          <w:szCs w:val="24"/>
        </w:rPr>
        <w:t>от «__» ________2026 г. № __________</w:t>
      </w:r>
    </w:p>
    <w:p>
      <w:pPr>
        <w:pStyle w:val="Normal"/>
        <w:widowControl/>
        <w:tabs>
          <w:tab w:val="clear" w:pos="708"/>
          <w:tab w:val="left" w:pos="1418" w:leader="none"/>
        </w:tabs>
        <w:spacing w:before="0" w:after="0"/>
        <w:ind w:firstLine="6237"/>
        <w:contextualSpacing/>
        <w:jc w:val="center"/>
        <w:rPr>
          <w:bCs/>
          <w:sz w:val="24"/>
          <w:szCs w:val="24"/>
        </w:rPr>
      </w:pPr>
      <w:r>
        <w:rPr>
          <w:bCs/>
          <w:sz w:val="24"/>
          <w:szCs w:val="24"/>
        </w:rPr>
      </w:r>
    </w:p>
    <w:p>
      <w:pPr>
        <w:pStyle w:val="Normal"/>
        <w:widowControl/>
        <w:rPr>
          <w:rFonts w:eastAsia="Calibri"/>
          <w:sz w:val="24"/>
          <w:szCs w:val="24"/>
          <w:lang w:eastAsia="en-US"/>
        </w:rPr>
      </w:pPr>
      <w:r>
        <w:rPr>
          <w:rFonts w:eastAsia="Calibri"/>
          <w:sz w:val="24"/>
          <w:szCs w:val="24"/>
          <w:lang w:eastAsia="en-US"/>
        </w:rPr>
      </w:r>
    </w:p>
    <w:p>
      <w:pPr>
        <w:pStyle w:val="Normal"/>
        <w:jc w:val="center"/>
        <w:rPr>
          <w:b/>
          <w:bCs/>
          <w:sz w:val="24"/>
          <w:szCs w:val="24"/>
        </w:rPr>
      </w:pPr>
      <w:r>
        <w:rPr>
          <w:b/>
          <w:bCs/>
          <w:sz w:val="24"/>
          <w:szCs w:val="24"/>
        </w:rPr>
        <w:t>Размер ответственности Поставщика за нарушения</w:t>
      </w:r>
    </w:p>
    <w:p>
      <w:pPr>
        <w:pStyle w:val="Normal"/>
        <w:jc w:val="center"/>
        <w:rPr>
          <w:b/>
          <w:bCs/>
          <w:sz w:val="24"/>
          <w:szCs w:val="24"/>
        </w:rPr>
      </w:pPr>
      <w:r>
        <w:rPr>
          <w:b/>
          <w:bCs/>
          <w:sz w:val="24"/>
          <w:szCs w:val="24"/>
        </w:rPr>
        <w:t>пропускного и внутриобъектового режима, требований охраны труда,</w:t>
      </w:r>
    </w:p>
    <w:p>
      <w:pPr>
        <w:pStyle w:val="Normal"/>
        <w:jc w:val="center"/>
        <w:rPr>
          <w:b/>
          <w:sz w:val="24"/>
          <w:szCs w:val="24"/>
        </w:rPr>
      </w:pPr>
      <w:r>
        <w:rPr>
          <w:b/>
          <w:bCs/>
          <w:sz w:val="24"/>
          <w:szCs w:val="24"/>
        </w:rPr>
        <w:t>пожарной и промышленной безопасности</w:t>
      </w:r>
    </w:p>
    <w:p>
      <w:pPr>
        <w:pStyle w:val="Normal"/>
        <w:rPr>
          <w:b/>
          <w:sz w:val="24"/>
          <w:szCs w:val="24"/>
        </w:rPr>
      </w:pPr>
      <w:r>
        <w:rPr>
          <w:b/>
          <w:sz w:val="24"/>
          <w:szCs w:val="24"/>
        </w:rPr>
      </w:r>
    </w:p>
    <w:tbl>
      <w:tblPr>
        <w:tblW w:w="5000" w:type="pct"/>
        <w:jc w:val="left"/>
        <w:tblInd w:w="0" w:type="dxa"/>
        <w:tblLayout w:type="fixed"/>
        <w:tblCellMar>
          <w:top w:w="0" w:type="dxa"/>
          <w:left w:w="108" w:type="dxa"/>
          <w:bottom w:w="0" w:type="dxa"/>
          <w:right w:w="108" w:type="dxa"/>
        </w:tblCellMar>
        <w:tblLook w:noVBand="0" w:val="01e0" w:noHBand="0" w:lastColumn="1" w:firstColumn="1" w:lastRow="1" w:firstRow="1"/>
      </w:tblPr>
      <w:tblGrid>
        <w:gridCol w:w="3670"/>
        <w:gridCol w:w="5966"/>
      </w:tblGrid>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Виды нарушений</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Штрафные санкции</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 Нарушение правил пожарной безопасности (ППБ):</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1.1. Нарушение ППБ без возникновения пожара</w:t>
            </w:r>
          </w:p>
          <w:p>
            <w:pPr>
              <w:pStyle w:val="Normal"/>
              <w:widowControl w:val="false"/>
              <w:rPr>
                <w:b/>
                <w:sz w:val="24"/>
                <w:szCs w:val="24"/>
              </w:rPr>
            </w:pPr>
            <w:r>
              <w:rPr>
                <w:b/>
                <w:sz w:val="24"/>
                <w:szCs w:val="24"/>
              </w:rPr>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25 000 (двадцать пять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1.2. Нарушение ППБ, ставшее причиной возникновения пожара, не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50 000 (пятьдесят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1.3. Нарушение ППБ, ставшее причиной возникновения пожара, причинившего ущерб имуществу Покупателя.</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250 000 (двести пятьдесят тысяч) рублей за каждый случай нарушения.</w:t>
            </w:r>
          </w:p>
        </w:tc>
      </w:tr>
      <w:tr>
        <w:trPr/>
        <w:tc>
          <w:tcPr>
            <w:tcW w:w="3670"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2.</w:t>
            </w:r>
            <w:r>
              <w:rPr>
                <w:b/>
                <w:sz w:val="24"/>
                <w:szCs w:val="24"/>
              </w:rPr>
              <w:t xml:space="preserve"> </w:t>
            </w:r>
            <w:r>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9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- 50 000 (пятьдесят тысяч) рублей за каждый случай нарушения;</w:t>
            </w:r>
          </w:p>
          <w:p>
            <w:pPr>
              <w:pStyle w:val="Normal"/>
              <w:widowControl w:val="false"/>
              <w:jc w:val="both"/>
              <w:rPr>
                <w:sz w:val="24"/>
                <w:szCs w:val="24"/>
              </w:rPr>
            </w:pPr>
            <w:r>
              <w:rPr>
                <w:sz w:val="24"/>
                <w:szCs w:val="24"/>
              </w:rPr>
              <w:t xml:space="preserve">- 500 (пятьсот) рублей в случае утраты или приведения в негодность электронного пропуска, выданного Покупателем. </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rPr>
          <w:sz w:val="24"/>
          <w:szCs w:val="24"/>
        </w:rPr>
      </w:pPr>
      <w:r>
        <w:rPr>
          <w:sz w:val="24"/>
          <w:szCs w:val="24"/>
        </w:rPr>
      </w:r>
    </w:p>
    <w:p>
      <w:pPr>
        <w:pStyle w:val="Normal"/>
        <w:rPr>
          <w:sz w:val="24"/>
          <w:szCs w:val="24"/>
        </w:rPr>
      </w:pPr>
      <w:r>
        <w:rPr>
          <w:sz w:val="24"/>
          <w:szCs w:val="24"/>
        </w:rPr>
      </w:r>
    </w:p>
    <w:p>
      <w:pPr>
        <w:pStyle w:val="Normal"/>
        <w:numPr>
          <w:ilvl w:val="0"/>
          <w:numId w:val="0"/>
        </w:numPr>
        <w:jc w:val="center"/>
        <w:outlineLvl w:val="0"/>
        <w:rPr>
          <w:b/>
          <w:bCs/>
          <w:sz w:val="24"/>
          <w:szCs w:val="24"/>
        </w:rPr>
      </w:pPr>
      <w:r>
        <w:rPr>
          <w:b/>
          <w:bCs/>
          <w:sz w:val="24"/>
          <w:szCs w:val="24"/>
        </w:rPr>
        <w:t>ПОДПИСИ СТОРОН:</w:t>
      </w:r>
    </w:p>
    <w:p>
      <w:pPr>
        <w:pStyle w:val="Normal"/>
        <w:numPr>
          <w:ilvl w:val="0"/>
          <w:numId w:val="0"/>
        </w:numPr>
        <w:jc w:val="center"/>
        <w:outlineLvl w:val="0"/>
        <w:rPr>
          <w:bCs/>
          <w:sz w:val="24"/>
          <w:szCs w:val="24"/>
        </w:rPr>
      </w:pPr>
      <w:r>
        <w:rPr>
          <w:bCs/>
          <w:sz w:val="24"/>
          <w:szCs w:val="24"/>
        </w:rPr>
      </w:r>
    </w:p>
    <w:tbl>
      <w:tblPr>
        <w:tblW w:w="10346" w:type="dxa"/>
        <w:jc w:val="left"/>
        <w:tblInd w:w="-176" w:type="dxa"/>
        <w:tblLayout w:type="fixed"/>
        <w:tblCellMar>
          <w:top w:w="0" w:type="dxa"/>
          <w:left w:w="108" w:type="dxa"/>
          <w:bottom w:w="0" w:type="dxa"/>
          <w:right w:w="108" w:type="dxa"/>
        </w:tblCellMar>
        <w:tblLook w:noVBand="1" w:val="04a0" w:noHBand="0" w:lastColumn="0" w:firstColumn="1" w:lastRow="0" w:firstRow="1"/>
      </w:tblPr>
      <w:tblGrid>
        <w:gridCol w:w="5217"/>
        <w:gridCol w:w="5128"/>
      </w:tblGrid>
      <w:tr>
        <w:trPr/>
        <w:tc>
          <w:tcPr>
            <w:tcW w:w="5217" w:type="dxa"/>
            <w:tcBorders/>
            <w:shd w:color="auto" w:fill="auto" w:val="clear"/>
          </w:tcPr>
          <w:p>
            <w:pPr>
              <w:pStyle w:val="Normal"/>
              <w:widowControl w:val="false"/>
              <w:rPr>
                <w:b/>
                <w:sz w:val="24"/>
                <w:szCs w:val="24"/>
              </w:rPr>
            </w:pPr>
            <w:r>
              <w:rPr>
                <w:b/>
                <w:sz w:val="24"/>
                <w:szCs w:val="24"/>
              </w:rPr>
              <w:t>Покупатель:</w:t>
            </w:r>
          </w:p>
          <w:p>
            <w:pPr>
              <w:pStyle w:val="Normal"/>
              <w:widowControl w:val="false"/>
              <w:rPr>
                <w:sz w:val="24"/>
                <w:szCs w:val="24"/>
              </w:rPr>
            </w:pPr>
            <w:r>
              <w:rPr>
                <w:sz w:val="24"/>
                <w:szCs w:val="24"/>
              </w:rPr>
            </w:r>
          </w:p>
          <w:p>
            <w:pPr>
              <w:pStyle w:val="Normal"/>
              <w:widowControl w:val="false"/>
              <w:rPr>
                <w:sz w:val="24"/>
                <w:szCs w:val="24"/>
              </w:rPr>
            </w:pPr>
            <w:r>
              <w:rPr>
                <w:sz w:val="24"/>
                <w:szCs w:val="24"/>
              </w:rPr>
              <w:t>_____________________/А.Г. Бяков</w:t>
            </w:r>
          </w:p>
          <w:p>
            <w:pPr>
              <w:pStyle w:val="Normal"/>
              <w:widowControl w:val="false"/>
              <w:rPr>
                <w:sz w:val="24"/>
                <w:szCs w:val="24"/>
              </w:rPr>
            </w:pPr>
            <w:r>
              <w:rPr>
                <w:sz w:val="24"/>
                <w:szCs w:val="24"/>
              </w:rPr>
            </w:r>
          </w:p>
        </w:tc>
        <w:tc>
          <w:tcPr>
            <w:tcW w:w="5128" w:type="dxa"/>
            <w:tcBorders/>
            <w:shd w:color="auto" w:fill="auto" w:val="clear"/>
          </w:tcPr>
          <w:p>
            <w:pPr>
              <w:pStyle w:val="Normal"/>
              <w:widowControl w:val="false"/>
              <w:ind w:firstLine="34"/>
              <w:rPr>
                <w:b/>
                <w:sz w:val="24"/>
                <w:szCs w:val="24"/>
              </w:rPr>
            </w:pPr>
            <w:r>
              <w:rPr>
                <w:b/>
                <w:sz w:val="24"/>
                <w:szCs w:val="24"/>
              </w:rPr>
              <w:t>Поставщик:</w:t>
            </w:r>
          </w:p>
          <w:p>
            <w:pPr>
              <w:pStyle w:val="Normal"/>
              <w:widowControl w:val="false"/>
              <w:rPr>
                <w:sz w:val="24"/>
                <w:szCs w:val="24"/>
              </w:rPr>
            </w:pPr>
            <w:r>
              <w:rPr>
                <w:sz w:val="24"/>
                <w:szCs w:val="24"/>
              </w:rPr>
            </w:r>
          </w:p>
          <w:p>
            <w:pPr>
              <w:pStyle w:val="Normal"/>
              <w:widowControl w:val="false"/>
              <w:rPr>
                <w:sz w:val="24"/>
                <w:szCs w:val="24"/>
                <w:lang w:val="en-US"/>
              </w:rPr>
            </w:pPr>
            <w:r>
              <w:rPr>
                <w:sz w:val="24"/>
                <w:szCs w:val="24"/>
              </w:rPr>
              <w:t>_____________________/</w:t>
            </w:r>
            <w:r>
              <w:rPr>
                <w:sz w:val="24"/>
                <w:szCs w:val="24"/>
                <w:lang w:val="en-US"/>
              </w:rPr>
              <w:t>___________</w:t>
            </w:r>
          </w:p>
          <w:p>
            <w:pPr>
              <w:pStyle w:val="Normal"/>
              <w:widowControl w:val="false"/>
              <w:ind w:firstLine="33"/>
              <w:rPr>
                <w:b/>
                <w:sz w:val="24"/>
                <w:szCs w:val="24"/>
              </w:rPr>
            </w:pPr>
            <w:r>
              <w:rPr>
                <w:b/>
                <w:sz w:val="24"/>
                <w:szCs w:val="24"/>
              </w:rPr>
            </w:r>
          </w:p>
        </w:tc>
      </w:tr>
    </w:tbl>
    <w:p>
      <w:pPr>
        <w:pStyle w:val="Normal"/>
        <w:rPr>
          <w:b/>
          <w:bCs/>
          <w:sz w:val="24"/>
          <w:szCs w:val="24"/>
        </w:rPr>
      </w:pPr>
      <w:r>
        <w:rPr>
          <w:b/>
          <w:bCs/>
          <w:sz w:val="24"/>
          <w:szCs w:val="24"/>
        </w:rPr>
      </w:r>
    </w:p>
    <w:p>
      <w:pPr>
        <w:pStyle w:val="Normal"/>
        <w:rPr/>
      </w:pPr>
      <w:r>
        <w:rPr/>
      </w:r>
    </w:p>
    <w:p>
      <w:pPr>
        <w:pStyle w:val="Normal"/>
        <w:rPr/>
      </w:pPr>
      <w:r>
        <w:rPr/>
      </w:r>
    </w:p>
    <w:p>
      <w:pPr>
        <w:pStyle w:val="Normal"/>
        <w:rPr/>
      </w:pPr>
      <w:r>
        <w:rPr/>
      </w:r>
    </w:p>
    <w:p>
      <w:pPr>
        <w:pStyle w:val="ListParagraph"/>
        <w:ind w:left="0" w:hanging="0"/>
        <w:jc w:val="both"/>
        <w:rPr>
          <w:bCs/>
        </w:rPr>
      </w:pPr>
      <w:r>
        <w:rPr>
          <w:bCs/>
        </w:rPr>
      </w:r>
    </w:p>
    <w:p>
      <w:pPr>
        <w:pStyle w:val="ListParagraph"/>
        <w:ind w:left="0" w:hanging="0"/>
        <w:jc w:val="both"/>
        <w:rPr>
          <w:bCs/>
        </w:rPr>
      </w:pPr>
      <w:r>
        <w:rPr>
          <w:bCs/>
        </w:rPr>
      </w:r>
    </w:p>
    <w:p>
      <w:pPr>
        <w:pStyle w:val="Normal"/>
        <w:rPr/>
      </w:pPr>
      <w:r>
        <w:rPr/>
      </w:r>
    </w:p>
    <w:p>
      <w:pPr>
        <w:pStyle w:val="Normal"/>
        <w:rPr/>
      </w:pPr>
      <w:r>
        <w:rPr/>
      </w:r>
    </w:p>
    <w:p>
      <w:pPr>
        <w:pStyle w:val="Normal"/>
        <w:rPr/>
      </w:pPr>
      <w:r>
        <w:rPr/>
      </w:r>
    </w:p>
    <w:sectPr>
      <w:headerReference w:type="default" r:id="rId16"/>
      <w:headerReference w:type="first" r:id="rId17"/>
      <w:footerReference w:type="default" r:id="rId18"/>
      <w:footerReference w:type="first" r:id="rId19"/>
      <w:footnotePr>
        <w:numFmt w:val="decimal"/>
      </w:footnotePr>
      <w:type w:val="nextPage"/>
      <w:pgSz w:w="11906" w:h="16838"/>
      <w:pgMar w:left="1418" w:right="851" w:gutter="0" w:header="709" w:top="1134" w:footer="709"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Calibri Light">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swiss"/>
    <w:pitch w:val="variable"/>
  </w:font>
  <w:font w:name="Courier New">
    <w:charset w:val="01"/>
    <w:family w:val="roman"/>
    <w:pitch w:val="variable"/>
  </w:font>
  <w:font w:name="Verdana">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16</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17</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18</w:t>
    </w:r>
    <w:r>
      <w:rPr/>
      <w:fldChar w:fldCharType="end"/>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20</w:t>
    </w:r>
    <w:r>
      <w:rPr>
        <w:sz w:val="22"/>
        <w:szCs w:val="22"/>
      </w:rPr>
      <w:fldChar w:fldCharType="end"/>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15"/>
        </w:rPr>
        <w:footnoteRef/>
      </w:r>
      <w:r>
        <w:rPr/>
        <w:t xml:space="preserve"> </w:t>
      </w:r>
      <w:r>
        <w:rPr/>
        <w:t>В случае если Контрагент – МСП, при этом Заказчик попадает под действие постановления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pPr>
        <w:pStyle w:val="FootnoteText"/>
        <w:jc w:val="both"/>
        <w:rPr/>
      </w:pPr>
      <w:r>
        <w:rPr>
          <w:rStyle w:val="Style15"/>
        </w:rPr>
        <w:footnoteRef/>
      </w:r>
      <w:r>
        <w:rPr/>
        <w:t xml:space="preserve"> </w:t>
      </w:r>
      <w:r>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Pr/>
        <w:t>.</w:t>
      </w:r>
    </w:p>
  </w:footnote>
  <w:footnote w:id="4">
    <w:p>
      <w:pPr>
        <w:pStyle w:val="FootnoteText"/>
        <w:jc w:val="both"/>
        <w:rPr/>
      </w:pPr>
      <w:r>
        <w:rPr>
          <w:rStyle w:val="Style15"/>
        </w:rPr>
        <w:footnoteRef/>
      </w:r>
      <w:r>
        <w:rPr/>
        <w:t xml:space="preserve"> </w:t>
      </w:r>
      <w:r>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1875" w:leader="none"/>
        <w:tab w:val="right" w:pos="8306" w:leader="none"/>
      </w:tabs>
      <w:jc w:val="right"/>
      <w:rPr/>
    </w:pPr>
    <w:r>
      <w:rPr/>
      <w:tab/>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1875" w:leader="none"/>
        <w:tab w:val="right" w:pos="8306" w:leader="none"/>
      </w:tabs>
      <w:jc w:val="right"/>
      <w:rPr/>
    </w:pPr>
    <w:r>
      <w:rPr/>
      <w:tab/>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1875" w:leader="none"/>
        <w:tab w:val="right" w:pos="8306" w:leader="none"/>
      </w:tabs>
      <w:jc w:val="right"/>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rPr/>
    </w:lvl>
    <w:lvl w:ilvl="1">
      <w:start w:val="1"/>
      <w:numFmt w:val="decimal"/>
      <w:lvlText w:val="%1.%2."/>
      <w:lvlJc w:val="left"/>
      <w:pPr>
        <w:tabs>
          <w:tab w:val="num" w:pos="1425"/>
        </w:tabs>
        <w:ind w:left="1425" w:hanging="432"/>
      </w:pPr>
      <w:rPr>
        <w:sz w:val="24"/>
        <w:b w:val="false"/>
        <w:szCs w:val="24"/>
      </w:rPr>
    </w:lvl>
    <w:lvl w:ilvl="2">
      <w:start w:val="1"/>
      <w:numFmt w:val="decimal"/>
      <w:lvlText w:val="%1.%2.%3."/>
      <w:lvlJc w:val="left"/>
      <w:pPr>
        <w:tabs>
          <w:tab w:val="num" w:pos="1440"/>
        </w:tabs>
        <w:ind w:left="1224"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10"/>
  <w:trackRevision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documentProtection w:edit="trackedChanges" w:enforcement="1"/>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86f70"/>
    <w:pPr>
      <w:widowControl w:val="false"/>
      <w:suppressAutoHyphens w:val="true"/>
      <w:bidi w:val="0"/>
      <w:spacing w:before="0" w:after="0"/>
      <w:jc w:val="left"/>
    </w:pPr>
    <w:rPr>
      <w:rFonts w:ascii="Times New Roman" w:hAnsi="Times New Roman" w:eastAsia="Times New Roman" w:cs="Times New Roman"/>
      <w:color w:val="auto"/>
      <w:kern w:val="0"/>
      <w:sz w:val="20"/>
      <w:szCs w:val="20"/>
      <w:lang w:eastAsia="ru-RU" w:val="ru-RU" w:bidi="ar-SA"/>
    </w:rPr>
  </w:style>
  <w:style w:type="paragraph" w:styleId="Heading1">
    <w:name w:val="Heading 1"/>
    <w:basedOn w:val="Normal"/>
    <w:next w:val="Normal"/>
    <w:link w:val="1"/>
    <w:qFormat/>
    <w:rsid w:val="00886f70"/>
    <w:pPr>
      <w:keepNext w:val="true"/>
      <w:spacing w:before="240" w:after="60"/>
      <w:outlineLvl w:val="0"/>
    </w:pPr>
    <w:rPr>
      <w:rFonts w:ascii="Arial" w:hAnsi="Arial" w:cs="Arial"/>
      <w:b/>
      <w:bCs/>
      <w:kern w:val="2"/>
      <w:sz w:val="32"/>
      <w:szCs w:val="32"/>
    </w:rPr>
  </w:style>
  <w:style w:type="paragraph" w:styleId="Heading2">
    <w:name w:val="Heading 2"/>
    <w:basedOn w:val="Normal"/>
    <w:next w:val="Normal"/>
    <w:link w:val="22"/>
    <w:uiPriority w:val="9"/>
    <w:semiHidden/>
    <w:unhideWhenUsed/>
    <w:qFormat/>
    <w:rsid w:val="00370cfe"/>
    <w:pPr>
      <w:keepNext w:val="true"/>
      <w:keepLines/>
      <w:spacing w:before="40" w:after="0"/>
      <w:outlineLvl w:val="1"/>
    </w:pPr>
    <w:rPr>
      <w:rFonts w:ascii="Calibri Light" w:hAnsi="Calibri Light" w:eastAsia="" w:cs="" w:asciiTheme="majorHAnsi" w:cstheme="majorBidi" w:eastAsiaTheme="majorEastAsia" w:hAnsiTheme="majorHAnsi"/>
      <w:color w:val="2E74B5" w:themeColor="accent1" w:themeShade="bf"/>
      <w:sz w:val="26"/>
      <w:szCs w:val="26"/>
    </w:rPr>
  </w:style>
  <w:style w:type="paragraph" w:styleId="Heading3">
    <w:name w:val="Heading 3"/>
    <w:basedOn w:val="Normal"/>
    <w:next w:val="Normal"/>
    <w:link w:val="3"/>
    <w:qFormat/>
    <w:rsid w:val="00886f70"/>
    <w:pPr>
      <w:keepNext w:val="true"/>
      <w:keepLines/>
      <w:spacing w:before="200" w:after="0"/>
      <w:outlineLvl w:val="2"/>
    </w:pPr>
    <w:rPr>
      <w:rFonts w:ascii="Cambria" w:hAnsi="Cambria"/>
      <w:b/>
      <w:bCs/>
      <w:color w:val="4F81BD"/>
      <w:lang w:val="x-none" w:eastAsia="x-none"/>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886f70"/>
    <w:rPr>
      <w:rFonts w:ascii="Arial" w:hAnsi="Arial" w:eastAsia="Times New Roman" w:cs="Arial"/>
      <w:b/>
      <w:bCs/>
      <w:kern w:val="2"/>
      <w:sz w:val="32"/>
      <w:szCs w:val="32"/>
      <w:lang w:eastAsia="ru-RU"/>
    </w:rPr>
  </w:style>
  <w:style w:type="character" w:styleId="3" w:customStyle="1">
    <w:name w:val="Заголовок 3 Знак"/>
    <w:basedOn w:val="DefaultParagraphFont"/>
    <w:qFormat/>
    <w:rsid w:val="00886f70"/>
    <w:rPr>
      <w:rFonts w:ascii="Cambria" w:hAnsi="Cambria" w:eastAsia="Times New Roman" w:cs="Times New Roman"/>
      <w:b/>
      <w:bCs/>
      <w:color w:val="4F81BD"/>
      <w:sz w:val="20"/>
      <w:szCs w:val="20"/>
      <w:lang w:val="x-none" w:eastAsia="x-none"/>
    </w:rPr>
  </w:style>
  <w:style w:type="character" w:styleId="Style6" w:customStyle="1">
    <w:name w:val="Заголовок Знак"/>
    <w:basedOn w:val="DefaultParagraphFont"/>
    <w:qFormat/>
    <w:rsid w:val="00886f70"/>
    <w:rPr>
      <w:rFonts w:ascii="Times New Roman" w:hAnsi="Times New Roman" w:eastAsia="Times New Roman" w:cs="Times New Roman"/>
      <w:b/>
      <w:bCs/>
      <w:sz w:val="24"/>
      <w:szCs w:val="24"/>
      <w:lang w:eastAsia="ru-RU"/>
    </w:rPr>
  </w:style>
  <w:style w:type="character" w:styleId="2" w:customStyle="1">
    <w:name w:val="Основной текст с отступом 2 Знак"/>
    <w:basedOn w:val="DefaultParagraphFont"/>
    <w:link w:val="BodyTextIndent2"/>
    <w:qFormat/>
    <w:rsid w:val="00886f70"/>
    <w:rPr>
      <w:rFonts w:ascii="Times New Roman" w:hAnsi="Times New Roman" w:eastAsia="Times New Roman" w:cs="Times New Roman"/>
      <w:sz w:val="24"/>
      <w:szCs w:val="20"/>
      <w:lang w:eastAsia="ru-RU"/>
    </w:rPr>
  </w:style>
  <w:style w:type="character" w:styleId="Style7" w:customStyle="1">
    <w:name w:val="Текст выноски Знак"/>
    <w:basedOn w:val="DefaultParagraphFont"/>
    <w:link w:val="BalloonText"/>
    <w:semiHidden/>
    <w:qFormat/>
    <w:rsid w:val="00886f70"/>
    <w:rPr>
      <w:rFonts w:ascii="Tahoma" w:hAnsi="Tahoma" w:eastAsia="Times New Roman" w:cs="Tahoma"/>
      <w:sz w:val="16"/>
      <w:szCs w:val="16"/>
      <w:lang w:eastAsia="ru-RU"/>
    </w:rPr>
  </w:style>
  <w:style w:type="character" w:styleId="21" w:customStyle="1">
    <w:name w:val="Основной текст 2 Знак"/>
    <w:basedOn w:val="DefaultParagraphFont"/>
    <w:link w:val="BodyText2"/>
    <w:qFormat/>
    <w:rsid w:val="00886f70"/>
    <w:rPr>
      <w:rFonts w:ascii="Times New Roman" w:hAnsi="Times New Roman" w:eastAsia="Times New Roman" w:cs="Times New Roman"/>
      <w:sz w:val="24"/>
      <w:szCs w:val="24"/>
      <w:lang w:eastAsia="ru-RU"/>
    </w:rPr>
  </w:style>
  <w:style w:type="character" w:styleId="Style8" w:customStyle="1">
    <w:name w:val="Основной текст Знак"/>
    <w:basedOn w:val="DefaultParagraphFont"/>
    <w:qFormat/>
    <w:rsid w:val="00886f70"/>
    <w:rPr>
      <w:rFonts w:ascii="Times New Roman" w:hAnsi="Times New Roman" w:eastAsia="Times New Roman" w:cs="Times New Roman"/>
      <w:sz w:val="20"/>
      <w:szCs w:val="20"/>
      <w:lang w:eastAsia="ru-RU"/>
    </w:rPr>
  </w:style>
  <w:style w:type="character" w:styleId="Style9" w:customStyle="1">
    <w:name w:val="Нижний колонтитул Знак"/>
    <w:basedOn w:val="DefaultParagraphFont"/>
    <w:uiPriority w:val="99"/>
    <w:qFormat/>
    <w:rsid w:val="00886f70"/>
    <w:rPr>
      <w:rFonts w:ascii="Times New Roman" w:hAnsi="Times New Roman" w:eastAsia="Times New Roman" w:cs="Times New Roman"/>
      <w:sz w:val="20"/>
      <w:szCs w:val="20"/>
      <w:lang w:eastAsia="ru-RU"/>
    </w:rPr>
  </w:style>
  <w:style w:type="character" w:styleId="Pagenumber">
    <w:name w:val="page number"/>
    <w:basedOn w:val="DefaultParagraphFont"/>
    <w:qFormat/>
    <w:rsid w:val="00886f70"/>
    <w:rPr/>
  </w:style>
  <w:style w:type="character" w:styleId="31" w:customStyle="1">
    <w:name w:val="Основной текст 3 Знак"/>
    <w:basedOn w:val="DefaultParagraphFont"/>
    <w:link w:val="BodyText3"/>
    <w:qFormat/>
    <w:rsid w:val="00886f70"/>
    <w:rPr>
      <w:rFonts w:ascii="Times New Roman" w:hAnsi="Times New Roman" w:eastAsia="Times New Roman" w:cs="Times New Roman"/>
      <w:sz w:val="16"/>
      <w:szCs w:val="16"/>
      <w:lang w:val="x-none" w:eastAsia="x-none"/>
    </w:rPr>
  </w:style>
  <w:style w:type="character" w:styleId="Annotationreference">
    <w:name w:val="annotation reference"/>
    <w:qFormat/>
    <w:rsid w:val="00886f70"/>
    <w:rPr>
      <w:sz w:val="16"/>
      <w:szCs w:val="16"/>
    </w:rPr>
  </w:style>
  <w:style w:type="character" w:styleId="Style10" w:customStyle="1">
    <w:name w:val="Текст примечания Знак"/>
    <w:basedOn w:val="DefaultParagraphFont"/>
    <w:link w:val="Annotationtext"/>
    <w:qFormat/>
    <w:rsid w:val="00886f70"/>
    <w:rPr>
      <w:rFonts w:ascii="Times New Roman" w:hAnsi="Times New Roman" w:eastAsia="Times New Roman" w:cs="Times New Roman"/>
      <w:sz w:val="20"/>
      <w:szCs w:val="20"/>
      <w:lang w:eastAsia="ru-RU"/>
    </w:rPr>
  </w:style>
  <w:style w:type="character" w:styleId="Style11" w:customStyle="1">
    <w:name w:val="Тема примечания Знак"/>
    <w:basedOn w:val="Style10"/>
    <w:link w:val="Annotationsubject"/>
    <w:qFormat/>
    <w:rsid w:val="00886f70"/>
    <w:rPr>
      <w:rFonts w:ascii="Times New Roman" w:hAnsi="Times New Roman" w:eastAsia="Times New Roman" w:cs="Times New Roman"/>
      <w:b/>
      <w:bCs/>
      <w:sz w:val="20"/>
      <w:szCs w:val="20"/>
      <w:lang w:val="x-none" w:eastAsia="x-none"/>
    </w:rPr>
  </w:style>
  <w:style w:type="character" w:styleId="Style12" w:customStyle="1">
    <w:name w:val="Основной текст с отступом Знак"/>
    <w:basedOn w:val="DefaultParagraphFont"/>
    <w:qFormat/>
    <w:rsid w:val="00886f70"/>
    <w:rPr>
      <w:rFonts w:ascii="Times New Roman" w:hAnsi="Times New Roman" w:eastAsia="Times New Roman" w:cs="Times New Roman"/>
      <w:sz w:val="20"/>
      <w:szCs w:val="20"/>
      <w:lang w:eastAsia="ru-RU"/>
    </w:rPr>
  </w:style>
  <w:style w:type="character" w:styleId="Style13" w:customStyle="1">
    <w:name w:val="комментарий"/>
    <w:uiPriority w:val="99"/>
    <w:qFormat/>
    <w:rsid w:val="00886f70"/>
    <w:rPr>
      <w:rFonts w:cs="Times New Roman"/>
      <w:b/>
      <w:bCs/>
      <w:i/>
      <w:iCs/>
      <w:shd w:fill="FFFF99" w:val="clear"/>
    </w:rPr>
  </w:style>
  <w:style w:type="character" w:styleId="Style14" w:customStyle="1">
    <w:name w:val="Текст сноски Знак"/>
    <w:basedOn w:val="DefaultParagraphFont"/>
    <w:uiPriority w:val="99"/>
    <w:qFormat/>
    <w:rsid w:val="00886f70"/>
    <w:rPr>
      <w:rFonts w:ascii="Times New Roman" w:hAnsi="Times New Roman" w:eastAsia="Times New Roman" w:cs="Times New Roman"/>
      <w:sz w:val="20"/>
      <w:szCs w:val="20"/>
      <w:lang w:eastAsia="ru-RU"/>
    </w:rPr>
  </w:style>
  <w:style w:type="character" w:styleId="Style15" w:customStyle="1">
    <w:name w:val="Символ сноски"/>
    <w:uiPriority w:val="99"/>
    <w:qFormat/>
    <w:rsid w:val="00886f70"/>
    <w:rPr>
      <w:vertAlign w:val="superscript"/>
    </w:rPr>
  </w:style>
  <w:style w:type="character" w:styleId="FootnoteReference">
    <w:name w:val="Footnote Reference"/>
    <w:rPr>
      <w:vertAlign w:val="superscript"/>
    </w:rPr>
  </w:style>
  <w:style w:type="character" w:styleId="Style16" w:customStyle="1">
    <w:name w:val="Схема документа Знак"/>
    <w:basedOn w:val="DefaultParagraphFont"/>
    <w:link w:val="DocumentMap"/>
    <w:semiHidden/>
    <w:qFormat/>
    <w:rsid w:val="00886f70"/>
    <w:rPr>
      <w:rFonts w:ascii="Tahoma" w:hAnsi="Tahoma" w:eastAsia="Times New Roman" w:cs="Tahoma"/>
      <w:sz w:val="20"/>
      <w:szCs w:val="20"/>
      <w:shd w:fill="000080" w:val="clear"/>
      <w:lang w:eastAsia="ru-RU"/>
    </w:rPr>
  </w:style>
  <w:style w:type="character" w:styleId="Style17" w:customStyle="1">
    <w:name w:val="Верхний колонтитул Знак"/>
    <w:basedOn w:val="DefaultParagraphFont"/>
    <w:qFormat/>
    <w:rsid w:val="00886f70"/>
    <w:rPr>
      <w:rFonts w:ascii="Times New Roman" w:hAnsi="Times New Roman" w:eastAsia="Times New Roman" w:cs="Times New Roman"/>
      <w:sz w:val="20"/>
      <w:szCs w:val="20"/>
      <w:lang w:eastAsia="ru-RU"/>
    </w:rPr>
  </w:style>
  <w:style w:type="character" w:styleId="Hyperlink">
    <w:name w:val="Hyperlink"/>
    <w:rsid w:val="00886f70"/>
    <w:rPr>
      <w:color w:val="0000FF"/>
      <w:u w:val="single"/>
    </w:rPr>
  </w:style>
  <w:style w:type="character" w:styleId="Style18" w:customStyle="1">
    <w:name w:val="Абзац списка Знак"/>
    <w:link w:val="ListParagraph"/>
    <w:uiPriority w:val="34"/>
    <w:qFormat/>
    <w:locked/>
    <w:rsid w:val="00b80bab"/>
    <w:rPr>
      <w:rFonts w:ascii="Times New Roman" w:hAnsi="Times New Roman" w:eastAsia="Times New Roman" w:cs="Times New Roman"/>
      <w:sz w:val="20"/>
      <w:szCs w:val="20"/>
      <w:lang w:eastAsia="ru-RU"/>
    </w:rPr>
  </w:style>
  <w:style w:type="character" w:styleId="32" w:customStyle="1">
    <w:name w:val="Основной текст с отступом 3 Знак"/>
    <w:basedOn w:val="DefaultParagraphFont"/>
    <w:link w:val="BodyTextIndent3"/>
    <w:uiPriority w:val="99"/>
    <w:semiHidden/>
    <w:qFormat/>
    <w:rsid w:val="00b209b6"/>
    <w:rPr>
      <w:rFonts w:ascii="Times New Roman" w:hAnsi="Times New Roman" w:eastAsia="Times New Roman" w:cs="Times New Roman"/>
      <w:sz w:val="16"/>
      <w:szCs w:val="16"/>
      <w:lang w:eastAsia="ru-RU"/>
    </w:rPr>
  </w:style>
  <w:style w:type="character" w:styleId="22" w:customStyle="1">
    <w:name w:val="Заголовок 2 Знак"/>
    <w:basedOn w:val="DefaultParagraphFont"/>
    <w:uiPriority w:val="9"/>
    <w:semiHidden/>
    <w:qFormat/>
    <w:rsid w:val="00370cfe"/>
    <w:rPr>
      <w:rFonts w:ascii="Calibri Light" w:hAnsi="Calibri Light" w:eastAsia="" w:cs="" w:asciiTheme="majorHAnsi" w:cstheme="majorBidi" w:eastAsiaTheme="majorEastAsia" w:hAnsiTheme="majorHAnsi"/>
      <w:color w:val="2E74B5" w:themeColor="accent1" w:themeShade="bf"/>
      <w:sz w:val="26"/>
      <w:szCs w:val="26"/>
      <w:lang w:eastAsia="ru-RU"/>
    </w:rPr>
  </w:style>
  <w:style w:type="character" w:styleId="Style19" w:customStyle="1">
    <w:name w:val="Символ концевой сноски"/>
    <w:qFormat/>
    <w:rPr>
      <w:vertAlign w:val="superscript"/>
    </w:rPr>
  </w:style>
  <w:style w:type="character" w:styleId="EndnoteReference">
    <w:name w:val="Endnote Reference"/>
    <w:rPr>
      <w:vertAlign w:val="superscript"/>
    </w:rPr>
  </w:style>
  <w:style w:type="character" w:styleId="Linenumber1" w:customStyle="1">
    <w:name w:val="line number1"/>
    <w:qFormat/>
    <w:rPr/>
  </w:style>
  <w:style w:type="character" w:styleId="Linenumber">
    <w:name w:val="line number"/>
    <w:qFormat/>
    <w:rPr/>
  </w:style>
  <w:style w:type="paragraph" w:styleId="Style20">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8"/>
    <w:rsid w:val="00886f70"/>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21">
    <w:name w:val="Указатель"/>
    <w:basedOn w:val="Normal"/>
    <w:qFormat/>
    <w:pPr>
      <w:suppressLineNumbers/>
    </w:pPr>
    <w:rPr/>
  </w:style>
  <w:style w:type="paragraph" w:styleId="Title">
    <w:name w:val="Title"/>
    <w:basedOn w:val="Normal"/>
    <w:next w:val="BodyText"/>
    <w:link w:val="Style6"/>
    <w:qFormat/>
    <w:rsid w:val="00886f70"/>
    <w:pPr>
      <w:jc w:val="center"/>
    </w:pPr>
    <w:rPr>
      <w:b/>
      <w:bCs/>
      <w:sz w:val="24"/>
      <w:szCs w:val="24"/>
    </w:rPr>
  </w:style>
  <w:style w:type="paragraph" w:styleId="Caption1">
    <w:name w:val="caption1"/>
    <w:basedOn w:val="Normal"/>
    <w:qFormat/>
    <w:pPr>
      <w:suppressLineNumbers/>
      <w:spacing w:before="120" w:after="120"/>
    </w:pPr>
    <w:rPr>
      <w:i/>
      <w:iCs/>
      <w:sz w:val="24"/>
      <w:szCs w:val="24"/>
    </w:rPr>
  </w:style>
  <w:style w:type="paragraph" w:styleId="Indexheading">
    <w:name w:val="index heading"/>
    <w:basedOn w:val="Normal"/>
    <w:qFormat/>
    <w:pPr>
      <w:suppressLineNumbers/>
    </w:pPr>
    <w:rPr/>
  </w:style>
  <w:style w:type="paragraph" w:styleId="Caption11" w:customStyle="1">
    <w:name w:val="caption11"/>
    <w:basedOn w:val="Normal"/>
    <w:qFormat/>
    <w:pPr>
      <w:suppressLineNumbers/>
      <w:spacing w:before="120" w:after="120"/>
    </w:pPr>
    <w:rPr>
      <w:i/>
      <w:iCs/>
      <w:sz w:val="24"/>
      <w:szCs w:val="24"/>
    </w:rPr>
  </w:style>
  <w:style w:type="paragraph" w:styleId="Caption111" w:customStyle="1">
    <w:name w:val="caption111"/>
    <w:basedOn w:val="Normal"/>
    <w:qFormat/>
    <w:pPr>
      <w:suppressLineNumbers/>
      <w:spacing w:before="120" w:after="120"/>
    </w:pPr>
    <w:rPr>
      <w:i/>
      <w:iCs/>
      <w:sz w:val="24"/>
      <w:szCs w:val="24"/>
    </w:rPr>
  </w:style>
  <w:style w:type="paragraph" w:styleId="Style22" w:customStyle="1">
    <w:name w:val="Таблицы (моноширинный)"/>
    <w:basedOn w:val="Normal"/>
    <w:next w:val="Normal"/>
    <w:qFormat/>
    <w:rsid w:val="00886f70"/>
    <w:pPr>
      <w:jc w:val="both"/>
    </w:pPr>
    <w:rPr>
      <w:rFonts w:ascii="Courier New" w:hAnsi="Courier New" w:cs="Courier New"/>
    </w:rPr>
  </w:style>
  <w:style w:type="paragraph" w:styleId="BodyTextIndent2">
    <w:name w:val="Body Text Indent 2"/>
    <w:basedOn w:val="Normal"/>
    <w:link w:val="2"/>
    <w:qFormat/>
    <w:rsid w:val="00886f70"/>
    <w:pPr>
      <w:ind w:left="1843" w:hanging="0"/>
      <w:jc w:val="both"/>
    </w:pPr>
    <w:rPr>
      <w:sz w:val="24"/>
    </w:rPr>
  </w:style>
  <w:style w:type="paragraph" w:styleId="BalloonText">
    <w:name w:val="Balloon Text"/>
    <w:basedOn w:val="Normal"/>
    <w:link w:val="Style7"/>
    <w:semiHidden/>
    <w:qFormat/>
    <w:rsid w:val="00886f70"/>
    <w:pPr/>
    <w:rPr>
      <w:rFonts w:ascii="Tahoma" w:hAnsi="Tahoma" w:cs="Tahoma"/>
      <w:sz w:val="16"/>
      <w:szCs w:val="16"/>
    </w:rPr>
  </w:style>
  <w:style w:type="paragraph" w:styleId="BodyText2">
    <w:name w:val="Body Text 2"/>
    <w:basedOn w:val="Normal"/>
    <w:link w:val="21"/>
    <w:qFormat/>
    <w:rsid w:val="00886f70"/>
    <w:pPr>
      <w:widowControl/>
      <w:spacing w:lineRule="auto" w:line="480" w:before="0" w:after="120"/>
    </w:pPr>
    <w:rPr>
      <w:sz w:val="24"/>
      <w:szCs w:val="24"/>
    </w:rPr>
  </w:style>
  <w:style w:type="paragraph" w:styleId="Style23" w:customStyle="1">
    <w:name w:val="Колонтитул"/>
    <w:basedOn w:val="Normal"/>
    <w:qFormat/>
    <w:pPr/>
    <w:rPr/>
  </w:style>
  <w:style w:type="paragraph" w:styleId="Footer">
    <w:name w:val="Footer"/>
    <w:basedOn w:val="Normal"/>
    <w:link w:val="Style9"/>
    <w:uiPriority w:val="99"/>
    <w:rsid w:val="00886f70"/>
    <w:pPr>
      <w:tabs>
        <w:tab w:val="clear" w:pos="708"/>
        <w:tab w:val="center" w:pos="4677" w:leader="none"/>
        <w:tab w:val="right" w:pos="9355" w:leader="none"/>
      </w:tabs>
    </w:pPr>
    <w:rPr/>
  </w:style>
  <w:style w:type="paragraph" w:styleId="BodyText3">
    <w:name w:val="Body Text 3"/>
    <w:basedOn w:val="Normal"/>
    <w:link w:val="31"/>
    <w:qFormat/>
    <w:rsid w:val="00886f70"/>
    <w:pPr>
      <w:spacing w:before="0" w:after="120"/>
    </w:pPr>
    <w:rPr>
      <w:sz w:val="16"/>
      <w:szCs w:val="16"/>
      <w:lang w:val="x-none" w:eastAsia="x-none"/>
    </w:rPr>
  </w:style>
  <w:style w:type="paragraph" w:styleId="Annotationtext">
    <w:name w:val="annotation text"/>
    <w:basedOn w:val="Normal"/>
    <w:link w:val="Style10"/>
    <w:qFormat/>
    <w:rsid w:val="00886f70"/>
    <w:pPr/>
    <w:rPr/>
  </w:style>
  <w:style w:type="paragraph" w:styleId="Annotationsubject">
    <w:name w:val="annotation subject"/>
    <w:basedOn w:val="Annotationtext"/>
    <w:next w:val="Annotationtext"/>
    <w:link w:val="Style11"/>
    <w:qFormat/>
    <w:rsid w:val="00886f70"/>
    <w:pPr/>
    <w:rPr>
      <w:b/>
      <w:bCs/>
      <w:lang w:val="x-none" w:eastAsia="x-none"/>
    </w:rPr>
  </w:style>
  <w:style w:type="paragraph" w:styleId="ListParagraph">
    <w:name w:val="List Paragraph"/>
    <w:basedOn w:val="Normal"/>
    <w:link w:val="Style18"/>
    <w:uiPriority w:val="34"/>
    <w:qFormat/>
    <w:rsid w:val="00886f70"/>
    <w:pPr>
      <w:spacing w:before="0" w:after="0"/>
      <w:ind w:left="720" w:hanging="0"/>
      <w:contextualSpacing/>
    </w:pPr>
    <w:rPr/>
  </w:style>
  <w:style w:type="paragraph" w:styleId="Style24" w:customStyle="1">
    <w:name w:val="Знак Знак Знак Знак Знак Знак Знак Знак Знак"/>
    <w:basedOn w:val="Normal"/>
    <w:uiPriority w:val="99"/>
    <w:qFormat/>
    <w:rsid w:val="00886f70"/>
    <w:pPr>
      <w:widowControl/>
      <w:spacing w:lineRule="exact" w:line="240" w:before="0" w:after="160"/>
      <w:jc w:val="both"/>
    </w:pPr>
    <w:rPr>
      <w:rFonts w:ascii="Verdana" w:hAnsi="Verdana"/>
      <w:sz w:val="22"/>
      <w:lang w:val="en-US" w:eastAsia="en-US"/>
    </w:rPr>
  </w:style>
  <w:style w:type="paragraph" w:styleId="Style25" w:customStyle="1">
    <w:name w:val="Подпункт договора"/>
    <w:basedOn w:val="Normal"/>
    <w:qFormat/>
    <w:rsid w:val="00886f70"/>
    <w:pPr>
      <w:widowControl/>
      <w:tabs>
        <w:tab w:val="clear" w:pos="708"/>
        <w:tab w:val="left" w:pos="360" w:leader="none"/>
      </w:tabs>
      <w:jc w:val="both"/>
    </w:pPr>
    <w:rPr>
      <w:rFonts w:ascii="Arial" w:hAnsi="Arial"/>
    </w:rPr>
  </w:style>
  <w:style w:type="paragraph" w:styleId="ConsNormal" w:customStyle="1">
    <w:name w:val="ConsNormal"/>
    <w:qFormat/>
    <w:rsid w:val="00886f70"/>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odyTextIndent">
    <w:name w:val="Body Text Indent"/>
    <w:basedOn w:val="Normal"/>
    <w:link w:val="Style12"/>
    <w:rsid w:val="00886f70"/>
    <w:pPr>
      <w:spacing w:before="0" w:after="120"/>
      <w:ind w:left="283" w:hanging="0"/>
    </w:pPr>
    <w:rPr/>
  </w:style>
  <w:style w:type="paragraph" w:styleId="Style26" w:customStyle="1">
    <w:name w:val="Знак"/>
    <w:basedOn w:val="Normal"/>
    <w:qFormat/>
    <w:rsid w:val="00886f70"/>
    <w:pPr>
      <w:widowControl/>
      <w:spacing w:lineRule="exact" w:line="240" w:before="0" w:after="160"/>
    </w:pPr>
    <w:rPr>
      <w:rFonts w:ascii="Verdana" w:hAnsi="Verdana" w:cs="Verdana"/>
      <w:lang w:val="en-US" w:eastAsia="en-US"/>
    </w:rPr>
  </w:style>
  <w:style w:type="paragraph" w:styleId="FootnoteText">
    <w:name w:val="Footnote Text"/>
    <w:basedOn w:val="Normal"/>
    <w:link w:val="Style14"/>
    <w:uiPriority w:val="99"/>
    <w:rsid w:val="00886f70"/>
    <w:pPr/>
    <w:rPr/>
  </w:style>
  <w:style w:type="paragraph" w:styleId="ListBullet3">
    <w:name w:val="List Bullet 3"/>
    <w:basedOn w:val="Normal"/>
    <w:uiPriority w:val="99"/>
    <w:unhideWhenUsed/>
    <w:qFormat/>
    <w:rsid w:val="00886f70"/>
    <w:pPr>
      <w:widowControl/>
      <w:tabs>
        <w:tab w:val="clear" w:pos="708"/>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886f70"/>
    <w:pPr>
      <w:widowControl/>
      <w:tabs>
        <w:tab w:val="clear" w:pos="708"/>
        <w:tab w:val="left" w:pos="851" w:leader="none"/>
      </w:tabs>
      <w:spacing w:lineRule="auto" w:line="360"/>
      <w:ind w:left="851" w:hanging="851"/>
      <w:jc w:val="both"/>
    </w:pPr>
    <w:rPr>
      <w:rFonts w:eastAsia="Calibri"/>
      <w:sz w:val="28"/>
      <w:szCs w:val="28"/>
    </w:rPr>
  </w:style>
  <w:style w:type="paragraph" w:styleId="DocumentMap">
    <w:name w:val="Document Map"/>
    <w:basedOn w:val="Normal"/>
    <w:link w:val="Style16"/>
    <w:semiHidden/>
    <w:qFormat/>
    <w:rsid w:val="00886f70"/>
    <w:pPr>
      <w:shd w:val="clear" w:color="auto" w:fill="000080"/>
    </w:pPr>
    <w:rPr>
      <w:rFonts w:ascii="Tahoma" w:hAnsi="Tahoma" w:cs="Tahoma"/>
    </w:rPr>
  </w:style>
  <w:style w:type="paragraph" w:styleId="Revision">
    <w:name w:val="Revision"/>
    <w:uiPriority w:val="99"/>
    <w:semiHidden/>
    <w:qFormat/>
    <w:rsid w:val="00886f70"/>
    <w:pPr>
      <w:widowControl/>
      <w:suppressAutoHyphens w:val="true"/>
      <w:bidi w:val="0"/>
      <w:spacing w:before="0" w:after="0"/>
      <w:jc w:val="left"/>
    </w:pPr>
    <w:rPr>
      <w:rFonts w:ascii="Times New Roman" w:hAnsi="Times New Roman" w:eastAsia="Times New Roman" w:cs="Times New Roman"/>
      <w:color w:val="auto"/>
      <w:kern w:val="0"/>
      <w:sz w:val="20"/>
      <w:szCs w:val="20"/>
      <w:lang w:eastAsia="ru-RU" w:val="ru-RU" w:bidi="ar-SA"/>
    </w:rPr>
  </w:style>
  <w:style w:type="paragraph" w:styleId="Header">
    <w:name w:val="Header"/>
    <w:basedOn w:val="Normal"/>
    <w:link w:val="Style17"/>
    <w:rsid w:val="00886f70"/>
    <w:pPr>
      <w:tabs>
        <w:tab w:val="clear" w:pos="708"/>
        <w:tab w:val="center" w:pos="4677" w:leader="none"/>
        <w:tab w:val="right" w:pos="9355" w:leader="none"/>
      </w:tabs>
    </w:pPr>
    <w:rPr/>
  </w:style>
  <w:style w:type="paragraph" w:styleId="Style27" w:customStyle="1">
    <w:name w:val="Пункт договора"/>
    <w:basedOn w:val="Normal"/>
    <w:qFormat/>
    <w:rsid w:val="00886f70"/>
    <w:pPr>
      <w:jc w:val="both"/>
    </w:pPr>
    <w:rPr>
      <w:rFonts w:ascii="Arial" w:hAnsi="Arial"/>
    </w:rPr>
  </w:style>
  <w:style w:type="paragraph" w:styleId="11" w:customStyle="1">
    <w:name w:val="Знак Знак Знак Знак Знак Знак Знак Знак Знак1"/>
    <w:basedOn w:val="Normal"/>
    <w:qFormat/>
    <w:rsid w:val="00886f70"/>
    <w:pPr>
      <w:widowControl/>
      <w:spacing w:lineRule="exact" w:line="240" w:before="0" w:after="160"/>
      <w:jc w:val="both"/>
    </w:pPr>
    <w:rPr>
      <w:rFonts w:ascii="Verdana" w:hAnsi="Verdana"/>
      <w:sz w:val="22"/>
      <w:lang w:val="en-US" w:eastAsia="en-US"/>
    </w:rPr>
  </w:style>
  <w:style w:type="paragraph" w:styleId="12" w:customStyle="1">
    <w:name w:val="Обычный1"/>
    <w:qFormat/>
    <w:rsid w:val="00886f70"/>
    <w:pPr>
      <w:widowControl/>
      <w:suppressAutoHyphens w:val="true"/>
      <w:bidi w:val="0"/>
      <w:spacing w:before="0" w:after="0"/>
      <w:jc w:val="left"/>
    </w:pPr>
    <w:rPr>
      <w:rFonts w:ascii="Times New Roman" w:hAnsi="Times New Roman" w:eastAsia="Times New Roman" w:cs="Times New Roman"/>
      <w:color w:val="auto"/>
      <w:kern w:val="0"/>
      <w:sz w:val="20"/>
      <w:szCs w:val="20"/>
      <w:lang w:eastAsia="ru-RU" w:val="ru-RU" w:bidi="ar-SA"/>
    </w:rPr>
  </w:style>
  <w:style w:type="paragraph" w:styleId="ConsPlusNormal" w:customStyle="1">
    <w:name w:val="ConsPlusNormal"/>
    <w:qFormat/>
    <w:rsid w:val="00886f70"/>
    <w:pPr>
      <w:widowControl w:val="false"/>
      <w:suppressAutoHyphens w:val="true"/>
      <w:bidi w:val="0"/>
      <w:spacing w:before="0" w:after="0"/>
      <w:jc w:val="left"/>
    </w:pPr>
    <w:rPr>
      <w:rFonts w:eastAsia="Times New Roman" w:cs="Calibri" w:ascii="Calibri" w:hAnsi="Calibri" w:asciiTheme="minorHAnsi" w:hAnsiTheme="minorHAnsi"/>
      <w:color w:val="auto"/>
      <w:kern w:val="0"/>
      <w:sz w:val="22"/>
      <w:szCs w:val="20"/>
      <w:lang w:eastAsia="ru-RU" w:val="ru-RU" w:bidi="ar-SA"/>
    </w:rPr>
  </w:style>
  <w:style w:type="paragraph" w:styleId="BodyTextIndent3">
    <w:name w:val="Body Text Indent 3"/>
    <w:basedOn w:val="Normal"/>
    <w:link w:val="32"/>
    <w:uiPriority w:val="99"/>
    <w:semiHidden/>
    <w:unhideWhenUsed/>
    <w:qFormat/>
    <w:rsid w:val="00b209b6"/>
    <w:pPr>
      <w:spacing w:before="0" w:after="120"/>
      <w:ind w:left="360" w:hanging="0"/>
    </w:pPr>
    <w:rPr>
      <w:sz w:val="16"/>
      <w:szCs w:val="16"/>
    </w:rPr>
  </w:style>
  <w:style w:type="paragraph" w:styleId="Default" w:customStyle="1">
    <w:name w:val="Default"/>
    <w:qFormat/>
    <w:rsid w:val="00b201da"/>
    <w:pPr>
      <w:widowControl/>
      <w:suppressAutoHyphens w:val="true"/>
      <w:bidi w:val="0"/>
      <w:spacing w:before="0" w:after="0"/>
      <w:jc w:val="left"/>
    </w:pPr>
    <w:rPr>
      <w:rFonts w:ascii="Times New Roman" w:hAnsi="Times New Roman" w:eastAsia="Calibri" w:cs="Times New Roman"/>
      <w:color w:val="000000"/>
      <w:kern w:val="0"/>
      <w:sz w:val="24"/>
      <w:szCs w:val="24"/>
      <w:lang w:val="ru-RU" w:eastAsia="en-US"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c">
    <w:name w:val="Table Grid"/>
    <w:basedOn w:val="a1"/>
    <w:rsid w:val="00886f70"/>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header" Target="header3.xml"/><Relationship Id="rId9" Type="http://schemas.openxmlformats.org/officeDocument/2006/relationships/header" Target="header4.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header" Target="header5.xml"/><Relationship Id="rId13" Type="http://schemas.openxmlformats.org/officeDocument/2006/relationships/header" Target="header6.xml"/><Relationship Id="rId14" Type="http://schemas.openxmlformats.org/officeDocument/2006/relationships/footer" Target="footer4.xml"/><Relationship Id="rId15" Type="http://schemas.openxmlformats.org/officeDocument/2006/relationships/footer" Target="footer5.xml"/><Relationship Id="rId16" Type="http://schemas.openxmlformats.org/officeDocument/2006/relationships/header" Target="header7.xml"/><Relationship Id="rId17" Type="http://schemas.openxmlformats.org/officeDocument/2006/relationships/header" Target="header8.xml"/><Relationship Id="rId18" Type="http://schemas.openxmlformats.org/officeDocument/2006/relationships/footer" Target="footer6.xml"/><Relationship Id="rId19" Type="http://schemas.openxmlformats.org/officeDocument/2006/relationships/footer" Target="footer7.xml"/><Relationship Id="rId20" Type="http://schemas.openxmlformats.org/officeDocument/2006/relationships/footnotes" Target="footnotes.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Relationship Id="rId26" Type="http://schemas.openxmlformats.org/officeDocument/2006/relationships/customXml" Target="../customXml/item2.xml"/><Relationship Id="rId27" Type="http://schemas.openxmlformats.org/officeDocument/2006/relationships/customXml" Target="../customXml/item3.xml"/><Relationship Id="rId28"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085CE-3EE5-4257-A854-521088406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3B29469-CEFB-4C63-A023-2AFB44A96B18}">
  <ds:schemaRefs>
    <ds:schemaRef ds:uri="http://schemas.microsoft.com/sharepoint/v3/contenttype/forms"/>
  </ds:schemaRefs>
</ds:datastoreItem>
</file>

<file path=customXml/itemProps3.xml><?xml version="1.0" encoding="utf-8"?>
<ds:datastoreItem xmlns:ds="http://schemas.openxmlformats.org/officeDocument/2006/customXml" ds:itemID="{95CAEEA5-E2B6-4B76-A826-4F29FF9531A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F7BAB4C5-AE40-4FAF-969D-292A3DDD9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Application>AlterOffice/3.4.0.9$Linux_X86_64 LibreOffice_project/b8daf9e823b1a5463a2f48435ddc2e8696e7d4fc</Application>
  <AppVersion>15.0000</AppVersion>
  <Pages>17</Pages>
  <Words>6808</Words>
  <Characters>48250</Characters>
  <CharactersWithSpaces>54839</CharactersWithSpaces>
  <Paragraphs>310</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2026-05-18T05:14:00Z</dcterms:created>
  <dc:creator>Быстрова Дарья Андреевна</dc:creator>
  <dc:description/>
  <dc:language>ru-RU</dc:language>
  <cp:lastModifiedBy>mikhailovvv@corp.gidroogk.com</cp:lastModifiedBy>
  <dcterms:modified xsi:type="dcterms:W3CDTF">2026-05-25T15:41:44Z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